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spacing w:lineRule="auto" w:line="240" w:before="150" w:after="0"/>
        <w:jc w:val="both"/>
        <w:rPr>
          <w:lang w:val="uk-UA"/>
        </w:rPr>
      </w:pPr>
      <w:r>
        <w:rPr>
          <w:rFonts w:eastAsia="Times New Roman" w:cs="Times New Roman" w:ascii="Times New Roman" w:hAnsi="Times New Roman"/>
          <w:b/>
          <w:color w:val="333333"/>
          <w:sz w:val="32"/>
          <w:szCs w:val="32"/>
          <w:lang w:val="uk-UA"/>
        </w:rPr>
        <w:t>ТОВ "ТД ИРБИС" оголошує конкурс на пошук суб'єктів аудиторської діяльності для проведення обов'язкового аудиту фінансової звітності за 2022 рік</w:t>
      </w:r>
    </w:p>
    <w:p>
      <w:pPr>
        <w:pStyle w:val="Normal1"/>
        <w:spacing w:lineRule="auto" w:line="240" w:before="0" w:after="390"/>
        <w:rPr>
          <w:rFonts w:ascii="Times New Roman" w:hAnsi="Times New Roman" w:eastAsia="Times New Roman" w:cs="Times New Roman"/>
          <w:color w:val="333333"/>
          <w:sz w:val="24"/>
          <w:szCs w:val="24"/>
          <w:lang w:val="uk-UA"/>
        </w:rPr>
      </w:pPr>
      <w:r>
        <w:rPr>
          <w:rFonts w:eastAsia="Times New Roman" w:cs="Times New Roman" w:ascii="Times New Roman" w:hAnsi="Times New Roman"/>
          <w:color w:val="333333"/>
          <w:sz w:val="24"/>
          <w:szCs w:val="24"/>
          <w:lang w:val="uk-UA"/>
        </w:rPr>
      </w:r>
    </w:p>
    <w:p>
      <w:pPr>
        <w:pStyle w:val="Normal1"/>
        <w:spacing w:lineRule="auto" w:line="240" w:before="120" w:after="120"/>
        <w:jc w:val="both"/>
        <w:rPr>
          <w:lang w:val="uk-UA"/>
        </w:rPr>
      </w:pPr>
      <w:r>
        <w:rPr>
          <w:rFonts w:eastAsia="Times New Roman" w:cs="Times New Roman" w:ascii="Times New Roman" w:hAnsi="Times New Roman"/>
          <w:color w:val="333333"/>
          <w:sz w:val="24"/>
          <w:szCs w:val="24"/>
          <w:lang w:val="uk-UA"/>
        </w:rPr>
        <w:t xml:space="preserve">ТОВ "ТД ИРБИС" оголошує конкурс з відбору суб'єктів аудиторської діяльності (далі - САД) з метою призначення для надання послуг з обов’язкового аудиту фінансової звітності за 2022 рік відповідно до Міжнародних стандартів аудиту, виданих Радою з питань міжнародних стандартів аудиту та гарантування достовірності. </w:t>
      </w:r>
    </w:p>
    <w:p>
      <w:pPr>
        <w:pStyle w:val="Normal1"/>
        <w:spacing w:lineRule="auto" w:line="240" w:before="120" w:after="120"/>
        <w:jc w:val="both"/>
        <w:rPr>
          <w:lang w:val="uk-UA"/>
        </w:rPr>
      </w:pPr>
      <w:r>
        <w:rPr>
          <w:rFonts w:eastAsia="Times New Roman" w:cs="Times New Roman" w:ascii="Times New Roman" w:hAnsi="Times New Roman"/>
          <w:color w:val="333333"/>
          <w:sz w:val="24"/>
          <w:szCs w:val="24"/>
          <w:lang w:val="uk-UA"/>
        </w:rPr>
        <w:t>Аудиторське завдання — проведення обов’язкового аудиту фінансової звітності за період з 01 січня 2022 по 31 грудня 2022 року.</w:t>
      </w:r>
    </w:p>
    <w:p>
      <w:pPr>
        <w:pStyle w:val="Normal1"/>
        <w:spacing w:lineRule="auto" w:line="240" w:before="120" w:after="120"/>
        <w:jc w:val="both"/>
        <w:rPr>
          <w:lang w:val="uk-UA"/>
        </w:rPr>
      </w:pPr>
      <w:r>
        <w:rPr>
          <w:rFonts w:eastAsia="Times New Roman" w:cs="Times New Roman" w:ascii="Times New Roman" w:hAnsi="Times New Roman"/>
          <w:b/>
          <w:color w:val="333333"/>
          <w:sz w:val="24"/>
          <w:szCs w:val="24"/>
          <w:lang w:val="uk-UA"/>
        </w:rPr>
        <w:t>Критеріями для вибору компанії є:</w:t>
      </w:r>
    </w:p>
    <w:p>
      <w:pPr>
        <w:pStyle w:val="Normal1"/>
        <w:spacing w:lineRule="auto" w:line="240" w:before="120" w:after="120"/>
        <w:jc w:val="both"/>
        <w:rPr>
          <w:lang w:val="uk-UA"/>
        </w:rPr>
      </w:pPr>
      <w:r>
        <w:rPr>
          <w:rFonts w:eastAsia="Times New Roman" w:cs="Times New Roman" w:ascii="Times New Roman" w:hAnsi="Times New Roman"/>
          <w:color w:val="333333"/>
          <w:sz w:val="24"/>
          <w:szCs w:val="24"/>
          <w:lang w:val="uk-UA"/>
        </w:rPr>
        <w:t>— </w:t>
      </w:r>
      <w:r>
        <w:rPr>
          <w:rFonts w:eastAsia="Times New Roman" w:cs="Times New Roman" w:ascii="Times New Roman" w:hAnsi="Times New Roman"/>
          <w:color w:val="333333"/>
          <w:sz w:val="24"/>
          <w:szCs w:val="24"/>
          <w:lang w:val="uk-UA"/>
        </w:rPr>
        <w:t>вартість аудиторських послуг з урахуванням усіх податків, зборів та передбачених законодавством відрахувань;</w:t>
      </w:r>
    </w:p>
    <w:p>
      <w:pPr>
        <w:pStyle w:val="Normal1"/>
        <w:spacing w:lineRule="auto" w:line="240" w:before="120" w:after="120"/>
        <w:jc w:val="both"/>
        <w:rPr>
          <w:lang w:val="uk-UA"/>
        </w:rPr>
      </w:pPr>
      <w:r>
        <w:rPr>
          <w:rFonts w:eastAsia="Times New Roman" w:cs="Times New Roman" w:ascii="Times New Roman" w:hAnsi="Times New Roman"/>
          <w:color w:val="333333"/>
          <w:sz w:val="24"/>
          <w:szCs w:val="24"/>
          <w:lang w:val="uk-UA"/>
        </w:rPr>
        <w:t>– </w:t>
      </w:r>
      <w:r>
        <w:rPr>
          <w:rFonts w:eastAsia="Times New Roman" w:cs="Times New Roman" w:ascii="Times New Roman" w:hAnsi="Times New Roman"/>
          <w:color w:val="333333"/>
          <w:sz w:val="24"/>
          <w:szCs w:val="24"/>
          <w:lang w:val="uk-UA"/>
        </w:rPr>
        <w:t>незалежність;</w:t>
      </w:r>
    </w:p>
    <w:p>
      <w:pPr>
        <w:pStyle w:val="Normal1"/>
        <w:spacing w:lineRule="auto" w:line="240" w:before="120" w:after="120"/>
        <w:jc w:val="both"/>
        <w:rPr>
          <w:lang w:val="uk-UA"/>
        </w:rPr>
      </w:pPr>
      <w:r>
        <w:rPr>
          <w:rFonts w:eastAsia="Times New Roman" w:cs="Times New Roman" w:ascii="Times New Roman" w:hAnsi="Times New Roman"/>
          <w:color w:val="333333"/>
          <w:sz w:val="24"/>
          <w:szCs w:val="24"/>
          <w:lang w:val="uk-UA"/>
        </w:rPr>
        <w:t>— </w:t>
      </w:r>
      <w:r>
        <w:rPr>
          <w:rFonts w:eastAsia="Times New Roman" w:cs="Times New Roman" w:ascii="Times New Roman" w:hAnsi="Times New Roman"/>
          <w:color w:val="333333"/>
          <w:sz w:val="24"/>
          <w:szCs w:val="24"/>
          <w:lang w:val="uk-UA"/>
        </w:rPr>
        <w:t>досвід надання аудиторських послуг з обов’язкового аудиту фінансової звітності, складеної за МСФЗ;</w:t>
      </w:r>
    </w:p>
    <w:p>
      <w:pPr>
        <w:pStyle w:val="Normal1"/>
        <w:spacing w:lineRule="auto" w:line="240" w:before="120" w:after="120"/>
        <w:jc w:val="both"/>
        <w:rPr>
          <w:lang w:val="uk-UA"/>
        </w:rPr>
      </w:pPr>
      <w:r>
        <w:rPr>
          <w:rFonts w:eastAsia="Times New Roman" w:cs="Times New Roman" w:ascii="Times New Roman" w:hAnsi="Times New Roman"/>
          <w:color w:val="333333"/>
          <w:sz w:val="24"/>
          <w:szCs w:val="24"/>
          <w:lang w:val="uk-UA"/>
        </w:rPr>
        <w:t>— </w:t>
      </w:r>
      <w:r>
        <w:rPr>
          <w:rFonts w:eastAsia="Times New Roman" w:cs="Times New Roman" w:ascii="Times New Roman" w:hAnsi="Times New Roman"/>
          <w:color w:val="333333"/>
          <w:sz w:val="24"/>
          <w:szCs w:val="24"/>
          <w:lang w:val="uk-UA"/>
        </w:rPr>
        <w:t>професійна репутація САД;</w:t>
      </w:r>
    </w:p>
    <w:p>
      <w:pPr>
        <w:pStyle w:val="Normal1"/>
        <w:spacing w:lineRule="auto" w:line="240" w:before="120" w:after="120"/>
        <w:jc w:val="both"/>
        <w:rPr>
          <w:lang w:val="uk-UA"/>
        </w:rPr>
      </w:pPr>
      <w:r>
        <w:rPr>
          <w:rFonts w:eastAsia="Times New Roman" w:cs="Times New Roman" w:ascii="Times New Roman" w:hAnsi="Times New Roman"/>
          <w:color w:val="333333"/>
          <w:sz w:val="24"/>
          <w:szCs w:val="24"/>
          <w:lang w:val="uk-UA"/>
        </w:rPr>
        <w:t>— </w:t>
      </w:r>
      <w:r>
        <w:rPr>
          <w:rFonts w:eastAsia="Times New Roman" w:cs="Times New Roman" w:ascii="Times New Roman" w:hAnsi="Times New Roman"/>
          <w:color w:val="333333"/>
          <w:sz w:val="24"/>
          <w:szCs w:val="24"/>
          <w:lang w:val="uk-UA"/>
        </w:rPr>
        <w:t>інші критерії відбору відповідно до умов тендерної документації та чинного законодавства.</w:t>
      </w:r>
    </w:p>
    <w:p>
      <w:pPr>
        <w:pStyle w:val="Normal1"/>
        <w:spacing w:lineRule="auto" w:line="240" w:before="120" w:after="120"/>
        <w:jc w:val="both"/>
        <w:rPr>
          <w:lang w:val="uk-UA"/>
        </w:rPr>
      </w:pPr>
      <w:r>
        <w:rPr>
          <w:rFonts w:eastAsia="Times New Roman" w:cs="Times New Roman" w:ascii="Times New Roman" w:hAnsi="Times New Roman"/>
          <w:b/>
          <w:color w:val="333333"/>
          <w:sz w:val="24"/>
          <w:szCs w:val="24"/>
          <w:lang w:val="uk-UA"/>
        </w:rPr>
        <w:t>У конкурсі можуть брати участь САД, які/в яких:</w:t>
      </w:r>
    </w:p>
    <w:p>
      <w:pPr>
        <w:pStyle w:val="Normal1"/>
        <w:spacing w:lineRule="auto" w:line="240" w:before="120" w:after="120"/>
        <w:jc w:val="both"/>
        <w:rPr>
          <w:lang w:val="uk-UA"/>
        </w:rPr>
      </w:pPr>
      <w:r>
        <w:rPr>
          <w:rFonts w:eastAsia="Times New Roman" w:cs="Times New Roman" w:ascii="Times New Roman" w:hAnsi="Times New Roman"/>
          <w:color w:val="333333"/>
          <w:sz w:val="24"/>
          <w:szCs w:val="24"/>
          <w:lang w:val="uk-UA"/>
        </w:rPr>
        <w:t>1) відповідають вимогам, встановленим Законом України "Про аудит фінансової звітності та аудиторську діяльність" від 21.12.2017р. №2258-VIII (далі – Закон про аудит) в частині вимог до суб'єктів аудиторської діяльності, які можуть надавати послуги з обов’язкового аудиту фінансової звітності підприємств, що становлять суспільний інтерес;</w:t>
      </w:r>
    </w:p>
    <w:p>
      <w:pPr>
        <w:pStyle w:val="Normal1"/>
        <w:spacing w:lineRule="auto" w:line="240" w:before="120" w:after="120"/>
        <w:jc w:val="both"/>
        <w:rPr>
          <w:lang w:val="uk-UA"/>
        </w:rPr>
      </w:pPr>
      <w:r>
        <w:rPr>
          <w:rFonts w:eastAsia="Times New Roman" w:cs="Times New Roman" w:ascii="Times New Roman" w:hAnsi="Times New Roman"/>
          <w:color w:val="333333"/>
          <w:sz w:val="24"/>
          <w:szCs w:val="24"/>
          <w:lang w:val="uk-UA"/>
        </w:rPr>
        <w:t>2) включені до IV розділу Реєстру аудиторів та суб'єктів аудиторської діяльності, а саме до розділу реєстру САД, які мають право проводити обов’язковий аудит фінансової звітності підприємств, що становлять суспільний інтерес;</w:t>
      </w:r>
    </w:p>
    <w:p>
      <w:pPr>
        <w:pStyle w:val="Normal1"/>
        <w:spacing w:lineRule="auto" w:line="240" w:before="120" w:after="120"/>
        <w:jc w:val="both"/>
        <w:rPr>
          <w:lang w:val="uk-UA"/>
        </w:rPr>
      </w:pPr>
      <w:r>
        <w:rPr>
          <w:rFonts w:eastAsia="Times New Roman" w:cs="Times New Roman" w:ascii="Times New Roman" w:hAnsi="Times New Roman"/>
          <w:color w:val="333333"/>
          <w:sz w:val="24"/>
          <w:szCs w:val="24"/>
          <w:lang w:val="uk-UA"/>
        </w:rPr>
        <w:t>3) мають достатній рівень кваліфікації та досвіду аудиторів і персоналу, який залучається до надання послуг щодо аудиту фінансової звітності відповідно до міжнародних стандартів;</w:t>
      </w:r>
    </w:p>
    <w:p>
      <w:pPr>
        <w:pStyle w:val="Normal1"/>
        <w:spacing w:lineRule="auto" w:line="240" w:before="120" w:after="120"/>
        <w:jc w:val="both"/>
        <w:rPr>
          <w:lang w:val="uk-UA"/>
        </w:rPr>
      </w:pPr>
      <w:r>
        <w:rPr>
          <w:rFonts w:eastAsia="Times New Roman" w:cs="Times New Roman" w:ascii="Times New Roman" w:hAnsi="Times New Roman"/>
          <w:color w:val="333333"/>
          <w:sz w:val="24"/>
          <w:szCs w:val="24"/>
          <w:lang w:val="uk-UA"/>
        </w:rPr>
        <w:t>4) мають добру репутацію (відсутні випадки застосування протягом двох років поспіль застосування до аудиторської фірми більше 3 разів стягнення у вигляді попередження або зупинення права на надання послуг з обов’язкового аудиту фінансової звітності або обов’язкового аудиту фінансової звітності великих підприємств);</w:t>
      </w:r>
    </w:p>
    <w:p>
      <w:pPr>
        <w:pStyle w:val="Normal1"/>
        <w:spacing w:lineRule="auto" w:line="240" w:before="120" w:after="120"/>
        <w:jc w:val="both"/>
        <w:rPr>
          <w:lang w:val="uk-UA"/>
        </w:rPr>
      </w:pPr>
      <w:r>
        <w:rPr>
          <w:rFonts w:eastAsia="Times New Roman" w:cs="Times New Roman" w:ascii="Times New Roman" w:hAnsi="Times New Roman"/>
          <w:color w:val="333333"/>
          <w:sz w:val="24"/>
          <w:szCs w:val="24"/>
          <w:lang w:val="uk-UA"/>
        </w:rPr>
        <w:t xml:space="preserve">5) можуть підтримувати достатній рівень забезпеченості працівниками за основним місцем роботи для виконання завдань з обов’язкового аудиту фінансової звітності відповідно до вимог Закону про аудит (за основним місцем роботи має працювати не менше п’яти  аудиторів із загальною чисельністю штатних кваліфікованих працівників, які залучаються до виконання завдань, не менше 10 осіб, з яких щонайменше дві особи повинні підтвердити кваліфікацію відповідно до статті 19 Закону про аудит або мати чинні сертифікати (дипломи) професійних організацій, що підтверджують високий рівень знань з міжнародних стандартів фінансової звітності); </w:t>
      </w:r>
    </w:p>
    <w:p>
      <w:pPr>
        <w:pStyle w:val="Normal1"/>
        <w:spacing w:lineRule="auto" w:line="240" w:before="120" w:after="120"/>
        <w:jc w:val="both"/>
        <w:rPr>
          <w:lang w:val="uk-UA"/>
        </w:rPr>
      </w:pPr>
      <w:r>
        <w:rPr>
          <w:rFonts w:eastAsia="Times New Roman" w:cs="Times New Roman" w:ascii="Times New Roman" w:hAnsi="Times New Roman"/>
          <w:color w:val="333333"/>
          <w:sz w:val="24"/>
          <w:szCs w:val="24"/>
          <w:lang w:val="uk-UA"/>
        </w:rPr>
        <w:t>6) не мають порушення вимог щодо забезпечення незалежності САД;</w:t>
      </w:r>
    </w:p>
    <w:p>
      <w:pPr>
        <w:pStyle w:val="Normal1"/>
        <w:spacing w:lineRule="auto" w:line="240" w:before="120" w:after="120"/>
        <w:jc w:val="both"/>
        <w:rPr>
          <w:lang w:val="uk-UA"/>
        </w:rPr>
      </w:pPr>
      <w:r>
        <w:rPr>
          <w:rFonts w:eastAsia="Times New Roman" w:cs="Times New Roman" w:ascii="Times New Roman" w:hAnsi="Times New Roman"/>
          <w:color w:val="333333"/>
          <w:sz w:val="24"/>
          <w:szCs w:val="24"/>
          <w:lang w:val="uk-UA"/>
        </w:rPr>
        <w:t>7) не мають за попередній річний звітний період суми винагороди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що перевищує 15% загальної суми доходу від надання аудиторських послуг;</w:t>
      </w:r>
    </w:p>
    <w:p>
      <w:pPr>
        <w:pStyle w:val="Normal1"/>
        <w:spacing w:lineRule="auto" w:line="240" w:before="120" w:after="120"/>
        <w:jc w:val="both"/>
        <w:rPr>
          <w:lang w:val="uk-UA"/>
        </w:rPr>
      </w:pPr>
      <w:r>
        <w:rPr>
          <w:rFonts w:eastAsia="Times New Roman" w:cs="Times New Roman" w:ascii="Times New Roman" w:hAnsi="Times New Roman"/>
          <w:color w:val="333333"/>
          <w:sz w:val="24"/>
          <w:szCs w:val="24"/>
          <w:lang w:val="uk-UA"/>
        </w:rPr>
        <w:t>8) не мають обмежень пов’язаних із тривалістю надання послуг ТОВ "ТД ИРБИС";</w:t>
      </w:r>
    </w:p>
    <w:p>
      <w:pPr>
        <w:pStyle w:val="Normal1"/>
        <w:spacing w:lineRule="auto" w:line="240" w:before="120" w:after="120"/>
        <w:jc w:val="both"/>
        <w:rPr>
          <w:lang w:val="uk-UA"/>
        </w:rPr>
      </w:pPr>
      <w:r>
        <w:rPr>
          <w:rFonts w:eastAsia="Times New Roman" w:cs="Times New Roman" w:ascii="Times New Roman" w:hAnsi="Times New Roman"/>
          <w:color w:val="333333"/>
          <w:sz w:val="24"/>
          <w:szCs w:val="24"/>
          <w:lang w:val="uk-UA"/>
        </w:rPr>
        <w:t>9) не мають обмеження щодо надання послуг, передбачених статтею 27 Закону про аудит;</w:t>
      </w:r>
    </w:p>
    <w:p>
      <w:pPr>
        <w:pStyle w:val="Normal1"/>
        <w:spacing w:lineRule="auto" w:line="240" w:before="120" w:after="120"/>
        <w:jc w:val="both"/>
        <w:rPr>
          <w:lang w:val="uk-UA"/>
        </w:rPr>
      </w:pPr>
      <w:r>
        <w:rPr>
          <w:rFonts w:eastAsia="Times New Roman" w:cs="Times New Roman" w:ascii="Times New Roman" w:hAnsi="Times New Roman"/>
          <w:color w:val="333333"/>
          <w:sz w:val="24"/>
          <w:szCs w:val="24"/>
          <w:lang w:val="uk-UA"/>
        </w:rPr>
        <w:t>10) мають чинний договір страхування цивільно-правової відповідальності перед третіми особами, укладений відповідно до положень чинного законодавства України, з мінімальною страховою сумою десять мільйонів гривень;</w:t>
      </w:r>
    </w:p>
    <w:p>
      <w:pPr>
        <w:pStyle w:val="Normal1"/>
        <w:spacing w:lineRule="auto" w:line="240" w:before="120" w:after="120"/>
        <w:jc w:val="both"/>
        <w:rPr>
          <w:lang w:val="uk-UA"/>
        </w:rPr>
      </w:pPr>
      <w:r>
        <w:rPr>
          <w:rFonts w:eastAsia="Times New Roman" w:cs="Times New Roman" w:ascii="Times New Roman" w:hAnsi="Times New Roman"/>
          <w:color w:val="333333"/>
          <w:sz w:val="24"/>
          <w:szCs w:val="24"/>
          <w:lang w:val="uk-UA"/>
        </w:rPr>
        <w:t>11) щорічна загальна сума винагороди суб'єкта аудиторської діяльності не перевищує 15% загальної суми чистого доходу від надання послуг таким суб'єктом аудиторської діяльності підприємству, що становить суспільний інтерес, впродовж п’яти років поспіль;</w:t>
      </w:r>
    </w:p>
    <w:p>
      <w:pPr>
        <w:pStyle w:val="Normal1"/>
        <w:spacing w:lineRule="auto" w:line="240" w:before="120" w:after="120"/>
        <w:jc w:val="both"/>
        <w:rPr>
          <w:lang w:val="uk-UA"/>
        </w:rPr>
      </w:pPr>
      <w:r>
        <w:rPr>
          <w:rFonts w:eastAsia="Times New Roman" w:cs="Times New Roman" w:ascii="Times New Roman" w:hAnsi="Times New Roman"/>
          <w:color w:val="333333"/>
          <w:sz w:val="24"/>
          <w:szCs w:val="24"/>
          <w:lang w:val="uk-UA"/>
        </w:rPr>
        <w:t>12) пройшли обов’язковий контроль якості аудиторських послуг, що підтверджено відповідним документом Комітету з контролю якості аудиторських послуг Аудиторської палати України/Інспекцією із забезпечення якості Органу суспільного нагляду за аудиторською діяльністю;</w:t>
      </w:r>
    </w:p>
    <w:p>
      <w:pPr>
        <w:pStyle w:val="Normal1"/>
        <w:spacing w:lineRule="auto" w:line="240" w:before="120" w:after="120"/>
        <w:jc w:val="both"/>
        <w:rPr>
          <w:lang w:val="uk-UA"/>
        </w:rPr>
      </w:pPr>
      <w:r>
        <w:rPr>
          <w:rFonts w:eastAsia="Times New Roman" w:cs="Times New Roman" w:ascii="Times New Roman" w:hAnsi="Times New Roman"/>
          <w:color w:val="333333"/>
          <w:sz w:val="24"/>
          <w:szCs w:val="24"/>
          <w:lang w:val="uk-UA"/>
        </w:rPr>
        <w:t>13) мають досвід надання аудиторських послуг підприємствам відповідної галузі.</w:t>
      </w:r>
    </w:p>
    <w:p>
      <w:pPr>
        <w:pStyle w:val="Normal1"/>
        <w:spacing w:lineRule="auto" w:line="240" w:before="120" w:after="120"/>
        <w:jc w:val="both"/>
        <w:rPr>
          <w:lang w:val="uk-UA"/>
        </w:rPr>
      </w:pPr>
      <w:r>
        <w:rPr>
          <w:rFonts w:eastAsia="Times New Roman" w:cs="Times New Roman" w:ascii="Times New Roman" w:hAnsi="Times New Roman"/>
          <w:color w:val="333333"/>
          <w:sz w:val="24"/>
          <w:szCs w:val="24"/>
          <w:lang w:val="uk-UA"/>
        </w:rPr>
        <w:t>Згідно з принципом конфіденційності та професійної таємниці суб'єкти аудиторської діяльності зобов’язані зберігати конфіденційність інформації, отриманої під час надання аудиторських послуг, не розголошувати відомостей, до яких вони мають доступ під час надання аудиторських послуг, і не використовувати їх у власних інтересах або в інтересах третіх осіб. Строк зобов’язань щодо збереження конфіденційності інформації може бути визначений договором.</w:t>
      </w:r>
    </w:p>
    <w:p>
      <w:pPr>
        <w:pStyle w:val="Normal1"/>
        <w:spacing w:lineRule="auto" w:line="240" w:before="120" w:after="120"/>
        <w:jc w:val="both"/>
        <w:rPr>
          <w:lang w:val="uk-UA"/>
        </w:rPr>
      </w:pPr>
      <w:r>
        <w:rPr>
          <w:rFonts w:eastAsia="Times New Roman" w:cs="Times New Roman" w:ascii="Times New Roman" w:hAnsi="Times New Roman"/>
          <w:color w:val="333333"/>
          <w:sz w:val="24"/>
          <w:szCs w:val="24"/>
          <w:lang w:val="uk-UA"/>
        </w:rPr>
        <w:t xml:space="preserve">У разі отримання конкурсної пропозиції від таких суб'єктів, які не відповідають вказаним вимогам, пропозиція від таких САД до розгляду не приймається. </w:t>
      </w:r>
    </w:p>
    <w:p>
      <w:pPr>
        <w:pStyle w:val="Normal1"/>
        <w:spacing w:lineRule="auto" w:line="240" w:before="120" w:after="120"/>
        <w:jc w:val="both"/>
        <w:rPr>
          <w:rFonts w:ascii="Times New Roman" w:hAnsi="Times New Roman" w:eastAsia="Times New Roman" w:cs="Times New Roman"/>
          <w:color w:val="333333"/>
          <w:sz w:val="24"/>
          <w:szCs w:val="24"/>
          <w:lang w:val="uk-UA"/>
        </w:rPr>
      </w:pPr>
      <w:r>
        <w:rPr>
          <w:rFonts w:eastAsia="Times New Roman" w:cs="Times New Roman" w:ascii="Times New Roman" w:hAnsi="Times New Roman"/>
          <w:color w:val="333333"/>
          <w:sz w:val="24"/>
          <w:szCs w:val="24"/>
          <w:lang w:val="uk-UA"/>
        </w:rPr>
      </w:r>
    </w:p>
    <w:p>
      <w:pPr>
        <w:pStyle w:val="Normal1"/>
        <w:spacing w:lineRule="auto" w:line="240" w:before="120" w:after="120"/>
        <w:jc w:val="both"/>
        <w:rPr>
          <w:lang w:val="uk-UA"/>
        </w:rPr>
      </w:pPr>
      <w:r>
        <w:rPr>
          <w:rFonts w:eastAsia="Times New Roman" w:cs="Times New Roman" w:ascii="Times New Roman" w:hAnsi="Times New Roman"/>
          <w:b/>
          <w:color w:val="333333"/>
          <w:sz w:val="24"/>
          <w:szCs w:val="24"/>
          <w:lang w:val="uk-UA"/>
        </w:rPr>
        <w:t>Не може бути допущений до проведення аудиту аудитор, який (хоча б одна із умов):</w:t>
      </w:r>
    </w:p>
    <w:p>
      <w:pPr>
        <w:pStyle w:val="Normal1"/>
        <w:keepNext w:val="false"/>
        <w:keepLines w:val="false"/>
        <w:pageBreakBefore w:val="false"/>
        <w:widowControl/>
        <w:numPr>
          <w:ilvl w:val="0"/>
          <w:numId w:val="1"/>
        </w:numPr>
        <w:pBdr/>
        <w:shd w:val="clear" w:fill="auto"/>
        <w:spacing w:lineRule="auto" w:line="240" w:before="120" w:after="0"/>
        <w:ind w:left="720" w:right="0" w:hanging="360"/>
        <w:jc w:val="both"/>
        <w:rPr>
          <w:lang w:val="uk-UA"/>
        </w:rPr>
      </w:pPr>
      <w:r>
        <w:rPr>
          <w:rFonts w:eastAsia="Times New Roman" w:cs="Times New Roman" w:ascii="Times New Roman" w:hAnsi="Times New Roman"/>
          <w:b w:val="false"/>
          <w:i w:val="false"/>
          <w:caps w:val="false"/>
          <w:smallCaps w:val="false"/>
          <w:strike w:val="false"/>
          <w:dstrike w:val="false"/>
          <w:color w:val="333333"/>
          <w:position w:val="0"/>
          <w:sz w:val="24"/>
          <w:sz w:val="24"/>
          <w:szCs w:val="24"/>
          <w:u w:val="none"/>
          <w:shd w:fill="auto" w:val="clear"/>
          <w:vertAlign w:val="baseline"/>
          <w:lang w:val="uk-UA"/>
        </w:rPr>
        <w:t>має родинні стосунки з членами органів управління ТОВ "ТД ИРБИС";</w:t>
      </w:r>
    </w:p>
    <w:p>
      <w:pPr>
        <w:pStyle w:val="Normal1"/>
        <w:keepNext w:val="false"/>
        <w:keepLines w:val="false"/>
        <w:pageBreakBefore w:val="false"/>
        <w:widowControl/>
        <w:numPr>
          <w:ilvl w:val="0"/>
          <w:numId w:val="1"/>
        </w:numPr>
        <w:pBdr/>
        <w:shd w:val="clear" w:fill="auto"/>
        <w:spacing w:lineRule="auto" w:line="240" w:before="0" w:after="0"/>
        <w:ind w:left="720" w:right="0" w:hanging="360"/>
        <w:jc w:val="both"/>
        <w:rPr>
          <w:lang w:val="uk-UA"/>
        </w:rPr>
      </w:pPr>
      <w:r>
        <w:rPr>
          <w:rFonts w:eastAsia="Times New Roman" w:cs="Times New Roman" w:ascii="Times New Roman" w:hAnsi="Times New Roman"/>
          <w:b w:val="false"/>
          <w:i w:val="false"/>
          <w:caps w:val="false"/>
          <w:smallCaps w:val="false"/>
          <w:strike w:val="false"/>
          <w:dstrike w:val="false"/>
          <w:color w:val="333333"/>
          <w:position w:val="0"/>
          <w:sz w:val="24"/>
          <w:sz w:val="24"/>
          <w:szCs w:val="24"/>
          <w:u w:val="none"/>
          <w:shd w:fill="auto" w:val="clear"/>
          <w:vertAlign w:val="baseline"/>
          <w:lang w:val="uk-UA"/>
        </w:rPr>
        <w:t>є членом органів управління або посадовою особою ТОВ "ТД ИРБИС";</w:t>
      </w:r>
    </w:p>
    <w:p>
      <w:pPr>
        <w:pStyle w:val="Normal1"/>
        <w:keepNext w:val="false"/>
        <w:keepLines w:val="false"/>
        <w:pageBreakBefore w:val="false"/>
        <w:widowControl/>
        <w:numPr>
          <w:ilvl w:val="0"/>
          <w:numId w:val="1"/>
        </w:numPr>
        <w:pBdr/>
        <w:shd w:val="clear" w:fill="auto"/>
        <w:spacing w:lineRule="auto" w:line="240" w:before="0" w:after="0"/>
        <w:ind w:left="720" w:right="0" w:hanging="360"/>
        <w:jc w:val="both"/>
        <w:rPr>
          <w:lang w:val="uk-UA"/>
        </w:rPr>
      </w:pPr>
      <w:r>
        <w:rPr>
          <w:rFonts w:eastAsia="Times New Roman" w:cs="Times New Roman" w:ascii="Times New Roman" w:hAnsi="Times New Roman"/>
          <w:b w:val="false"/>
          <w:i w:val="false"/>
          <w:caps w:val="false"/>
          <w:smallCaps w:val="false"/>
          <w:strike w:val="false"/>
          <w:dstrike w:val="false"/>
          <w:color w:val="333333"/>
          <w:position w:val="0"/>
          <w:sz w:val="24"/>
          <w:sz w:val="24"/>
          <w:szCs w:val="24"/>
          <w:u w:val="none"/>
          <w:shd w:fill="auto" w:val="clear"/>
          <w:vertAlign w:val="baseline"/>
          <w:lang w:val="uk-UA"/>
        </w:rPr>
        <w:t>є працівником ТОВ "ТД ИРБИС".</w:t>
      </w:r>
    </w:p>
    <w:p>
      <w:pPr>
        <w:pStyle w:val="Normal1"/>
        <w:keepNext w:val="false"/>
        <w:keepLines w:val="false"/>
        <w:pageBreakBefore w:val="false"/>
        <w:widowControl/>
        <w:pBdr/>
        <w:shd w:val="clear" w:fill="auto"/>
        <w:spacing w:lineRule="auto" w:line="240" w:before="0" w:after="12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333333"/>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333333"/>
          <w:position w:val="0"/>
          <w:sz w:val="24"/>
          <w:sz w:val="24"/>
          <w:szCs w:val="24"/>
          <w:u w:val="none"/>
          <w:shd w:fill="auto" w:val="clear"/>
          <w:vertAlign w:val="baseline"/>
          <w:lang w:val="uk-UA"/>
        </w:rPr>
      </w:r>
    </w:p>
    <w:p>
      <w:pPr>
        <w:pStyle w:val="Normal1"/>
        <w:spacing w:lineRule="auto" w:line="240" w:before="120" w:after="120"/>
        <w:jc w:val="both"/>
        <w:rPr>
          <w:lang w:val="uk-UA"/>
        </w:rPr>
      </w:pPr>
      <w:r>
        <w:rPr>
          <w:rFonts w:eastAsia="Times New Roman" w:cs="Times New Roman" w:ascii="Times New Roman" w:hAnsi="Times New Roman"/>
          <w:b/>
          <w:color w:val="333333"/>
          <w:sz w:val="24"/>
          <w:szCs w:val="24"/>
          <w:lang w:val="uk-UA"/>
        </w:rPr>
        <w:t>Для участі у конкурсі САД мають подати такі документи:</w:t>
      </w:r>
    </w:p>
    <w:p>
      <w:pPr>
        <w:pStyle w:val="Normal1"/>
        <w:spacing w:lineRule="auto" w:line="240" w:before="120" w:after="120"/>
        <w:jc w:val="both"/>
        <w:rPr>
          <w:lang w:val="uk-UA"/>
        </w:rPr>
      </w:pPr>
      <w:r>
        <w:rPr>
          <w:rFonts w:eastAsia="Times New Roman" w:cs="Times New Roman" w:ascii="Times New Roman" w:hAnsi="Times New Roman"/>
          <w:color w:val="333333"/>
          <w:sz w:val="24"/>
          <w:szCs w:val="24"/>
          <w:lang w:val="uk-UA"/>
        </w:rPr>
        <w:t>1)  заявка на участь у конкурсі;</w:t>
      </w:r>
    </w:p>
    <w:p>
      <w:pPr>
        <w:pStyle w:val="Normal1"/>
        <w:spacing w:lineRule="auto" w:line="240" w:before="120" w:after="120"/>
        <w:jc w:val="both"/>
        <w:rPr>
          <w:lang w:val="uk-UA"/>
        </w:rPr>
      </w:pPr>
      <w:r>
        <w:rPr>
          <w:rFonts w:eastAsia="Times New Roman" w:cs="Times New Roman" w:ascii="Times New Roman" w:hAnsi="Times New Roman"/>
          <w:color w:val="333333"/>
          <w:sz w:val="24"/>
          <w:szCs w:val="24"/>
          <w:lang w:val="uk-UA"/>
        </w:rPr>
        <w:t>2) анкета учасника конкурс</w:t>
      </w:r>
      <w:r>
        <w:rPr>
          <w:rFonts w:eastAsia="Times New Roman" w:cs="Times New Roman" w:ascii="Times New Roman" w:hAnsi="Times New Roman"/>
          <w:color w:val="333333"/>
          <w:sz w:val="24"/>
          <w:szCs w:val="24"/>
          <w:lang w:val="uk-UA"/>
        </w:rPr>
        <w:t>у</w:t>
      </w:r>
      <w:r>
        <w:rPr>
          <w:rFonts w:eastAsia="Times New Roman" w:cs="Times New Roman" w:ascii="Times New Roman" w:hAnsi="Times New Roman"/>
          <w:color w:val="333333"/>
          <w:sz w:val="24"/>
          <w:szCs w:val="24"/>
          <w:lang w:val="uk-UA"/>
        </w:rPr>
        <w:t>;</w:t>
      </w:r>
    </w:p>
    <w:p>
      <w:pPr>
        <w:pStyle w:val="Normal1"/>
        <w:spacing w:lineRule="auto" w:line="240" w:before="120" w:after="120"/>
        <w:jc w:val="both"/>
        <w:rPr>
          <w:lang w:val="uk-UA"/>
        </w:rPr>
      </w:pPr>
      <w:r>
        <w:rPr>
          <w:rFonts w:eastAsia="Times New Roman" w:cs="Times New Roman" w:ascii="Times New Roman" w:hAnsi="Times New Roman"/>
          <w:color w:val="333333"/>
          <w:sz w:val="24"/>
          <w:szCs w:val="24"/>
          <w:lang w:val="uk-UA"/>
        </w:rPr>
        <w:t>3) комерційна пропозиція учасника;</w:t>
      </w:r>
    </w:p>
    <w:p>
      <w:pPr>
        <w:pStyle w:val="Normal1"/>
        <w:spacing w:lineRule="auto" w:line="240" w:before="120" w:after="120"/>
        <w:jc w:val="both"/>
        <w:rPr>
          <w:lang w:val="uk-UA"/>
        </w:rPr>
      </w:pPr>
      <w:r>
        <w:rPr>
          <w:rFonts w:eastAsia="Times New Roman" w:cs="Times New Roman" w:ascii="Times New Roman" w:hAnsi="Times New Roman"/>
          <w:color w:val="333333"/>
          <w:sz w:val="24"/>
          <w:szCs w:val="24"/>
          <w:lang w:val="uk-UA"/>
        </w:rPr>
        <w:t>4) інша інформація, яка може бути суттєва та доцільна.</w:t>
      </w:r>
    </w:p>
    <w:p>
      <w:pPr>
        <w:pStyle w:val="Normal1"/>
        <w:spacing w:lineRule="auto" w:line="240" w:before="120" w:after="120"/>
        <w:jc w:val="both"/>
        <w:rPr>
          <w:lang w:val="uk-UA"/>
        </w:rPr>
      </w:pPr>
      <w:r>
        <w:rPr>
          <w:rFonts w:eastAsia="Times New Roman" w:cs="Times New Roman" w:ascii="Times New Roman" w:hAnsi="Times New Roman"/>
          <w:color w:val="333333"/>
          <w:sz w:val="24"/>
          <w:szCs w:val="24"/>
          <w:lang w:val="uk-UA"/>
        </w:rPr>
        <w:t>Конкурсні пропозиції подаються українською мовою за підписом уповноваженої особи САД. Копії документів, що подаються у складі тендерної документації у паперовій формі, повинні бути завірені підписом уповноваженої особи та печаткою суб'єкта (за наявності).</w:t>
      </w:r>
    </w:p>
    <w:p>
      <w:pPr>
        <w:pStyle w:val="Normal1"/>
        <w:spacing w:lineRule="auto" w:line="240" w:before="120" w:after="120"/>
        <w:jc w:val="both"/>
        <w:rPr>
          <w:rFonts w:ascii="Times New Roman" w:hAnsi="Times New Roman" w:eastAsia="Times New Roman" w:cs="Times New Roman"/>
          <w:b/>
          <w:b/>
          <w:color w:val="333333"/>
          <w:sz w:val="24"/>
          <w:szCs w:val="24"/>
          <w:lang w:val="uk-UA"/>
        </w:rPr>
      </w:pPr>
      <w:r>
        <w:rPr>
          <w:rFonts w:eastAsia="Times New Roman" w:cs="Times New Roman" w:ascii="Times New Roman" w:hAnsi="Times New Roman"/>
          <w:b/>
          <w:color w:val="333333"/>
          <w:sz w:val="24"/>
          <w:szCs w:val="24"/>
          <w:lang w:val="uk-UA"/>
        </w:rPr>
      </w:r>
    </w:p>
    <w:p>
      <w:pPr>
        <w:pStyle w:val="Normal1"/>
        <w:spacing w:lineRule="auto" w:line="240" w:before="120" w:after="120"/>
        <w:jc w:val="both"/>
        <w:rPr>
          <w:lang w:val="uk-UA"/>
        </w:rPr>
      </w:pPr>
      <w:r>
        <w:rPr>
          <w:rFonts w:eastAsia="Times New Roman" w:cs="Times New Roman" w:ascii="Times New Roman" w:hAnsi="Times New Roman"/>
          <w:b/>
          <w:color w:val="333333"/>
          <w:sz w:val="24"/>
          <w:szCs w:val="24"/>
          <w:lang w:val="uk-UA"/>
        </w:rPr>
        <w:t>Строки</w:t>
      </w:r>
    </w:p>
    <w:p>
      <w:pPr>
        <w:pStyle w:val="Normal1"/>
        <w:spacing w:lineRule="auto" w:line="240" w:before="120" w:after="120"/>
        <w:jc w:val="both"/>
        <w:rPr>
          <w:lang w:val="uk-UA"/>
        </w:rPr>
      </w:pPr>
      <w:r>
        <w:rPr>
          <w:rFonts w:eastAsia="Times New Roman" w:cs="Times New Roman" w:ascii="Times New Roman" w:hAnsi="Times New Roman"/>
          <w:color w:val="333333"/>
          <w:sz w:val="24"/>
          <w:szCs w:val="24"/>
          <w:lang w:val="uk-UA"/>
        </w:rPr>
        <w:t>Кінцевий термін подання конкурсних пропозицій — 30 листопада 2022 року до 23:59 включно.</w:t>
      </w:r>
    </w:p>
    <w:p>
      <w:pPr>
        <w:pStyle w:val="Normal1"/>
        <w:spacing w:lineRule="auto" w:line="240" w:before="120" w:after="120"/>
        <w:jc w:val="both"/>
        <w:rPr>
          <w:lang w:val="uk-UA"/>
        </w:rPr>
      </w:pPr>
      <w:r>
        <w:rPr>
          <w:rFonts w:eastAsia="Times New Roman" w:cs="Times New Roman" w:ascii="Times New Roman" w:hAnsi="Times New Roman"/>
          <w:color w:val="333333"/>
          <w:sz w:val="24"/>
          <w:szCs w:val="24"/>
          <w:lang w:val="uk-UA"/>
        </w:rPr>
        <w:t>Відкриття конкурсних заявок та засідання учасників товариства - 01 листопада 2022 року.</w:t>
      </w:r>
    </w:p>
    <w:p>
      <w:pPr>
        <w:pStyle w:val="Normal1"/>
        <w:spacing w:lineRule="auto" w:line="240" w:before="120" w:after="120"/>
        <w:jc w:val="both"/>
        <w:rPr>
          <w:lang w:val="uk-UA"/>
        </w:rPr>
      </w:pPr>
      <w:r>
        <w:rPr>
          <w:rFonts w:eastAsia="Times New Roman" w:cs="Times New Roman" w:ascii="Times New Roman" w:hAnsi="Times New Roman"/>
          <w:color w:val="333333"/>
          <w:sz w:val="24"/>
          <w:szCs w:val="24"/>
          <w:lang w:val="uk-UA"/>
        </w:rPr>
        <w:t>Оголошення остаточного рішення про обрання аудитора - 01 грудня 2022 року.</w:t>
      </w:r>
    </w:p>
    <w:p>
      <w:pPr>
        <w:pStyle w:val="Normal1"/>
        <w:spacing w:lineRule="auto" w:line="240" w:before="120" w:after="120"/>
        <w:jc w:val="both"/>
        <w:rPr>
          <w:lang w:val="uk-UA"/>
        </w:rPr>
      </w:pPr>
      <w:r>
        <w:rPr>
          <w:rFonts w:eastAsia="Times New Roman" w:cs="Times New Roman" w:ascii="Times New Roman" w:hAnsi="Times New Roman"/>
          <w:color w:val="333333"/>
          <w:sz w:val="24"/>
          <w:szCs w:val="24"/>
          <w:lang w:val="uk-UA"/>
        </w:rPr>
        <w:t>Про прийняте рішення і про призначення суб'єкта аудиторської діяльності для надання послуг з обов’язкового аудиту фінансової звітності ТОВ "ТД ИРБИС"  учасники конкурсу інформуються засобами електронної пошти.</w:t>
      </w:r>
    </w:p>
    <w:p>
      <w:pPr>
        <w:pStyle w:val="Normal1"/>
        <w:spacing w:lineRule="auto" w:line="240" w:before="120" w:after="120"/>
        <w:jc w:val="both"/>
        <w:rPr>
          <w:lang w:val="uk-UA"/>
        </w:rPr>
      </w:pPr>
      <w:r>
        <w:rPr>
          <w:rFonts w:eastAsia="Times New Roman" w:cs="Times New Roman" w:ascii="Times New Roman" w:hAnsi="Times New Roman"/>
          <w:color w:val="333333"/>
          <w:sz w:val="24"/>
          <w:szCs w:val="24"/>
          <w:lang w:val="uk-UA"/>
        </w:rPr>
        <w:t>Результати обов’язкового аудиту фінансової звітності ТОВ "ТД ИРБИС" мають бути представлені не пізніше 24 березня 2023 року.</w:t>
      </w:r>
    </w:p>
    <w:p>
      <w:pPr>
        <w:pStyle w:val="Normal1"/>
        <w:spacing w:lineRule="auto" w:line="240" w:before="120" w:after="120"/>
        <w:jc w:val="both"/>
        <w:rPr>
          <w:rFonts w:ascii="Times New Roman" w:hAnsi="Times New Roman" w:eastAsia="Times New Roman" w:cs="Times New Roman"/>
          <w:color w:val="333333"/>
          <w:sz w:val="24"/>
          <w:szCs w:val="24"/>
          <w:lang w:val="uk-UA"/>
        </w:rPr>
      </w:pPr>
      <w:r>
        <w:rPr>
          <w:rFonts w:eastAsia="Times New Roman" w:cs="Times New Roman" w:ascii="Times New Roman" w:hAnsi="Times New Roman"/>
          <w:color w:val="333333"/>
          <w:sz w:val="24"/>
          <w:szCs w:val="24"/>
          <w:lang w:val="uk-UA"/>
        </w:rPr>
      </w:r>
    </w:p>
    <w:p>
      <w:pPr>
        <w:pStyle w:val="Normal1"/>
        <w:spacing w:lineRule="auto" w:line="240" w:before="120" w:after="120"/>
        <w:jc w:val="both"/>
        <w:rPr>
          <w:lang w:val="uk-UA"/>
        </w:rPr>
      </w:pPr>
      <w:r>
        <w:rPr>
          <w:rFonts w:eastAsia="Times New Roman" w:cs="Times New Roman" w:ascii="Times New Roman" w:hAnsi="Times New Roman"/>
          <w:color w:val="333333"/>
          <w:sz w:val="24"/>
          <w:szCs w:val="24"/>
          <w:lang w:val="uk-UA"/>
        </w:rPr>
        <w:t>Звіт незалежного аудитора (Аудиторський висновок) щодо фінансової звітності, складеної відповідно до Міжнародних стандартів фінансової звітності за 2022 рік надається ТОВ "ТД ИРБИС" українською мовою, у електронному та у паперовому вигляді.</w:t>
      </w:r>
    </w:p>
    <w:p>
      <w:pPr>
        <w:pStyle w:val="Normal1"/>
        <w:spacing w:lineRule="auto" w:line="240" w:before="120" w:after="120"/>
        <w:jc w:val="both"/>
        <w:rPr>
          <w:lang w:val="uk-UA"/>
        </w:rPr>
      </w:pPr>
      <w:r>
        <w:rPr>
          <w:rFonts w:eastAsia="Times New Roman" w:cs="Times New Roman" w:ascii="Times New Roman" w:hAnsi="Times New Roman"/>
          <w:color w:val="FFFFFF"/>
          <w:sz w:val="24"/>
          <w:szCs w:val="24"/>
          <w:lang w:val="uk-UA"/>
        </w:rPr>
        <w:t>обробку персональних даних</w:t>
      </w:r>
    </w:p>
    <w:p>
      <w:pPr>
        <w:pStyle w:val="Normal1"/>
        <w:spacing w:lineRule="auto" w:line="240" w:before="120" w:after="120"/>
        <w:jc w:val="both"/>
        <w:rPr>
          <w:lang w:val="uk-UA"/>
        </w:rPr>
      </w:pPr>
      <w:r>
        <w:rPr>
          <w:rFonts w:eastAsia="Times New Roman" w:cs="Times New Roman" w:ascii="Times New Roman" w:hAnsi="Times New Roman"/>
          <w:b/>
          <w:color w:val="333333"/>
          <w:sz w:val="24"/>
          <w:szCs w:val="24"/>
          <w:lang w:val="uk-UA"/>
        </w:rPr>
        <w:t>Документи на участь у конкурсі  мають бути надіслані на електронну адресу: filimoshkina@cloud.irbis.ua</w:t>
      </w:r>
    </w:p>
    <w:p>
      <w:pPr>
        <w:pStyle w:val="Normal1"/>
        <w:spacing w:lineRule="auto" w:line="240" w:before="120" w:after="120"/>
        <w:jc w:val="both"/>
        <w:rPr>
          <w:lang w:val="uk-UA"/>
        </w:rPr>
      </w:pPr>
      <w:r>
        <w:rPr>
          <w:rFonts w:eastAsia="Times New Roman" w:cs="Times New Roman" w:ascii="Times New Roman" w:hAnsi="Times New Roman"/>
          <w:b/>
          <w:color w:val="222222"/>
          <w:sz w:val="24"/>
          <w:szCs w:val="24"/>
          <w:highlight w:val="white"/>
          <w:lang w:val="uk-UA"/>
        </w:rPr>
        <w:t>Або за адресою: 61001, м. Харків, провулок Микитинський, 24</w:t>
      </w:r>
    </w:p>
    <w:p>
      <w:pPr>
        <w:pStyle w:val="Normal1"/>
        <w:spacing w:lineRule="auto" w:line="240" w:before="120" w:after="120"/>
        <w:jc w:val="both"/>
        <w:rPr>
          <w:lang w:val="uk-UA"/>
        </w:rPr>
      </w:pPr>
      <w:r>
        <w:rPr>
          <w:rFonts w:eastAsia="Times New Roman" w:cs="Times New Roman" w:ascii="Times New Roman" w:hAnsi="Times New Roman"/>
          <w:color w:val="333333"/>
          <w:sz w:val="24"/>
          <w:szCs w:val="24"/>
          <w:lang w:val="uk-UA"/>
        </w:rPr>
        <w:t xml:space="preserve"> </w:t>
      </w:r>
      <w:r>
        <w:rPr>
          <w:rFonts w:eastAsia="Times New Roman" w:cs="Times New Roman" w:ascii="Times New Roman" w:hAnsi="Times New Roman"/>
          <w:color w:val="333333"/>
          <w:sz w:val="24"/>
          <w:szCs w:val="24"/>
          <w:lang w:val="uk-UA"/>
        </w:rPr>
        <w:t>(з поміткою «Конкурс на аудит фінансової звітності»).</w:t>
      </w:r>
    </w:p>
    <w:p>
      <w:pPr>
        <w:pStyle w:val="Normal1"/>
        <w:spacing w:lineRule="auto" w:line="240" w:before="120" w:after="120"/>
        <w:ind w:left="360" w:hanging="0"/>
        <w:jc w:val="both"/>
        <w:rPr>
          <w:lang w:val="uk-UA"/>
        </w:rPr>
      </w:pPr>
      <w:r>
        <w:rPr>
          <w:rFonts w:eastAsia="Times New Roman" w:cs="Times New Roman" w:ascii="Times New Roman" w:hAnsi="Times New Roman"/>
          <w:color w:val="FFFFFF"/>
          <w:sz w:val="24"/>
          <w:szCs w:val="24"/>
          <w:lang w:val="uk-UA"/>
        </w:rPr>
        <w:t>кета ера</w:t>
      </w:r>
    </w:p>
    <w:p>
      <w:pPr>
        <w:pStyle w:val="Normal1"/>
        <w:spacing w:lineRule="auto" w:line="240" w:before="120" w:after="120"/>
        <w:ind w:left="360" w:hanging="0"/>
        <w:jc w:val="both"/>
        <w:rPr>
          <w:rFonts w:ascii="Times New Roman" w:hAnsi="Times New Roman" w:eastAsia="Times New Roman" w:cs="Times New Roman"/>
          <w:color w:val="FFFFFF"/>
          <w:sz w:val="24"/>
          <w:szCs w:val="24"/>
        </w:rPr>
      </w:pPr>
      <w:r>
        <w:rPr>
          <w:lang w:val="uk-UA"/>
        </w:rPr>
      </w:r>
    </w:p>
    <w:sectPr>
      <w:type w:val="nextPage"/>
      <w:pgSz w:w="11906" w:h="16838"/>
      <w:pgMar w:left="1701" w:right="850" w:gutter="0" w:header="0" w:top="1134" w:footer="0" w:bottom="823"/>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Georgia">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zh-CN" w:bidi="hi-IN"/>
      </w:rPr>
    </w:rPrDefault>
    <w:pPrDefault>
      <w:pPr>
        <w:suppressAutoHyphens w:val="true"/>
      </w:pPr>
    </w:pPrDefault>
  </w:docDefaults>
  <w:style w:type="paragraph" w:styleId="Normal" w:default="1">
    <w:name w:val="Normal"/>
    <w:qFormat/>
    <w:rsid w:val="0002747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1"/>
    <w:next w:val="Normal1"/>
    <w:qFormat/>
    <w:pPr>
      <w:keepNext w:val="true"/>
      <w:keepLines/>
      <w:pageBreakBefore w:val="false"/>
      <w:spacing w:lineRule="auto" w:line="240" w:before="480" w:after="120"/>
    </w:pPr>
    <w:rPr>
      <w:b/>
      <w:sz w:val="48"/>
      <w:szCs w:val="48"/>
    </w:rPr>
  </w:style>
  <w:style w:type="paragraph" w:styleId="2">
    <w:name w:val="Heading 2"/>
    <w:basedOn w:val="Normal1"/>
    <w:next w:val="Normal1"/>
    <w:qFormat/>
    <w:pPr>
      <w:keepNext w:val="true"/>
      <w:keepLines/>
      <w:pageBreakBefore w:val="false"/>
      <w:spacing w:lineRule="auto" w:line="240" w:before="360" w:after="80"/>
    </w:pPr>
    <w:rPr>
      <w:b/>
      <w:sz w:val="36"/>
      <w:szCs w:val="36"/>
    </w:rPr>
  </w:style>
  <w:style w:type="paragraph" w:styleId="3">
    <w:name w:val="Heading 3"/>
    <w:basedOn w:val="Normal1"/>
    <w:next w:val="Normal1"/>
    <w:qFormat/>
    <w:pPr>
      <w:keepNext w:val="true"/>
      <w:keepLines/>
      <w:pageBreakBefore w:val="false"/>
      <w:spacing w:lineRule="auto" w:line="240" w:before="280" w:after="80"/>
    </w:pPr>
    <w:rPr>
      <w:b/>
      <w:sz w:val="28"/>
      <w:szCs w:val="28"/>
    </w:rPr>
  </w:style>
  <w:style w:type="paragraph" w:styleId="4">
    <w:name w:val="Heading 4"/>
    <w:basedOn w:val="Normal1"/>
    <w:next w:val="Normal1"/>
    <w:qFormat/>
    <w:pPr>
      <w:keepNext w:val="true"/>
      <w:keepLines/>
      <w:pageBreakBefore w:val="false"/>
      <w:spacing w:lineRule="auto" w:line="240" w:before="240" w:after="40"/>
    </w:pPr>
    <w:rPr>
      <w:b/>
      <w:sz w:val="24"/>
      <w:szCs w:val="24"/>
    </w:rPr>
  </w:style>
  <w:style w:type="paragraph" w:styleId="5">
    <w:name w:val="Heading 5"/>
    <w:basedOn w:val="Normal1"/>
    <w:next w:val="Normal1"/>
    <w:qFormat/>
    <w:pPr>
      <w:keepNext w:val="true"/>
      <w:keepLines/>
      <w:pageBreakBefore w:val="false"/>
      <w:spacing w:lineRule="auto" w:line="240" w:before="220" w:after="40"/>
    </w:pPr>
    <w:rPr>
      <w:b/>
      <w:sz w:val="22"/>
      <w:szCs w:val="22"/>
    </w:rPr>
  </w:style>
  <w:style w:type="paragraph" w:styleId="6">
    <w:name w:val="Heading 6"/>
    <w:basedOn w:val="Normal1"/>
    <w:next w:val="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Style8">
    <w:name w:val="Hyperlink"/>
    <w:basedOn w:val="DefaultParagraphFont"/>
    <w:uiPriority w:val="99"/>
    <w:unhideWhenUsed/>
    <w:rsid w:val="00ed52f5"/>
    <w:rPr>
      <w:color w:val="0000FF" w:themeColor="hyperlink"/>
      <w:u w:val="single"/>
    </w:rPr>
  </w:style>
  <w:style w:type="paragraph" w:styleId="Style9">
    <w:name w:val="Заголовок"/>
    <w:basedOn w:val="Normal1"/>
    <w:next w:val="Style10"/>
    <w:qFormat/>
    <w:pPr>
      <w:keepNext w:val="true"/>
      <w:spacing w:before="240" w:after="120"/>
    </w:pPr>
    <w:rPr>
      <w:rFonts w:ascii="Liberation Sans" w:hAnsi="Liberation Sans" w:eastAsia="Microsoft YaHei" w:cs="Lucida Sans"/>
      <w:sz w:val="28"/>
      <w:szCs w:val="28"/>
    </w:rPr>
  </w:style>
  <w:style w:type="paragraph" w:styleId="Style10">
    <w:name w:val="Body Text"/>
    <w:basedOn w:val="Normal1"/>
    <w:pPr>
      <w:spacing w:lineRule="auto" w:line="276" w:before="0" w:after="140"/>
    </w:pPr>
    <w:rPr/>
  </w:style>
  <w:style w:type="paragraph" w:styleId="Style11">
    <w:name w:val="List"/>
    <w:basedOn w:val="Style10"/>
    <w:pPr/>
    <w:rPr>
      <w:rFonts w:cs="Lucida Sans"/>
    </w:rPr>
  </w:style>
  <w:style w:type="paragraph" w:styleId="Style12">
    <w:name w:val="Caption"/>
    <w:basedOn w:val="Normal1"/>
    <w:qFormat/>
    <w:pPr>
      <w:suppressLineNumbers/>
      <w:spacing w:before="120" w:after="120"/>
    </w:pPr>
    <w:rPr>
      <w:rFonts w:cs="Lucida Sans"/>
      <w:i/>
      <w:iCs/>
      <w:sz w:val="24"/>
      <w:szCs w:val="24"/>
    </w:rPr>
  </w:style>
  <w:style w:type="paragraph" w:styleId="Style13">
    <w:name w:val="Покажчик"/>
    <w:basedOn w:val="Normal1"/>
    <w:qFormat/>
    <w:pPr>
      <w:suppressLineNumbers/>
    </w:pPr>
    <w:rPr>
      <w:rFonts w:cs="Lucida Sans"/>
    </w:rPr>
  </w:style>
  <w:style w:type="paragraph" w:styleId="Normal1" w:default="1">
    <w:name w:val="LO-normal"/>
    <w:qFormat/>
    <w:pPr>
      <w:widowControl/>
      <w:bidi w:val="0"/>
      <w:spacing w:lineRule="auto" w:line="276" w:before="0" w:after="200"/>
      <w:jc w:val="left"/>
    </w:pPr>
    <w:rPr>
      <w:rFonts w:ascii="Calibri" w:hAnsi="Calibri" w:eastAsia="Calibri" w:cs="Calibri"/>
      <w:color w:val="auto"/>
      <w:kern w:val="0"/>
      <w:sz w:val="22"/>
      <w:szCs w:val="22"/>
      <w:lang w:val="ru-RU" w:eastAsia="zh-CN" w:bidi="hi-IN"/>
    </w:rPr>
  </w:style>
  <w:style w:type="paragraph" w:styleId="Style14">
    <w:name w:val="Title"/>
    <w:basedOn w:val="Normal1"/>
    <w:next w:val="Normal1"/>
    <w:qFormat/>
    <w:pPr>
      <w:keepNext w:val="true"/>
      <w:keepLines/>
      <w:pageBreakBefore w:val="false"/>
      <w:spacing w:lineRule="auto" w:line="240" w:before="480" w:after="120"/>
    </w:pPr>
    <w:rPr>
      <w:b/>
      <w:sz w:val="72"/>
      <w:szCs w:val="72"/>
    </w:rPr>
  </w:style>
  <w:style w:type="paragraph" w:styleId="ListParagraph">
    <w:name w:val="List Paragraph"/>
    <w:basedOn w:val="Normal1"/>
    <w:uiPriority w:val="34"/>
    <w:qFormat/>
    <w:rsid w:val="00061240"/>
    <w:pPr>
      <w:spacing w:before="0" w:after="200"/>
      <w:ind w:left="720" w:hanging="0"/>
      <w:contextualSpacing/>
    </w:pPr>
    <w:rPr/>
  </w:style>
  <w:style w:type="paragraph" w:styleId="Style15">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Ndlt8uTctobFQZJF7F8Wo7nXc2g==">CgMxLjA4AHIhMXJvNHA3WmtWeFZJNUpQZzFUUzRkZm9SdTJwdjlyNmRZ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TotalTime>
  <Application>LibreOffice/7.4.3.2$Windows_X86_64 LibreOffice_project/1048a8393ae2eeec98dff31b5c133c5f1d08b890</Application>
  <AppVersion>15.0000</AppVersion>
  <DocSecurity>0</DocSecurity>
  <Pages>3</Pages>
  <Words>837</Words>
  <Characters>5586</Characters>
  <CharactersWithSpaces>6389</CharactersWithSpaces>
  <Paragraphs>47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2021-11-19T10:31:00Z</dcterms:created>
  <dc:creator>Евгения</dc:creator>
  <dc:description/>
  <dc:language>uk-UA</dc:language>
  <cp:lastModifiedBy/>
  <dcterms:modified xsi:type="dcterms:W3CDTF">2023-09-27T10:01:37Z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