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9810" w:type="dxa"/>
        <w:jc w:val="left"/>
        <w:tblInd w:w="0" w:type="dxa"/>
        <w:tblLayout w:type="fixed"/>
        <w:tblCellMar>
          <w:top w:w="55" w:type="dxa"/>
          <w:left w:w="55" w:type="dxa"/>
          <w:bottom w:w="55" w:type="dxa"/>
          <w:right w:w="55" w:type="dxa"/>
        </w:tblCellMar>
      </w:tblPr>
      <w:tblGrid>
        <w:gridCol w:w="4709"/>
        <w:gridCol w:w="2101"/>
        <w:gridCol w:w="3000"/>
      </w:tblGrid>
      <w:tr>
        <w:trPr>
          <w:trHeight w:val="281" w:hRule="atLeast"/>
        </w:trPr>
        <w:tc>
          <w:tcPr>
            <w:tcW w:w="4709" w:type="dxa"/>
            <w:tcBorders/>
          </w:tcPr>
          <w:p>
            <w:pPr>
              <w:pStyle w:val="Style27"/>
              <w:pageBreakBefore/>
              <w:widowControl w:val="false"/>
              <w:bidi w:val="0"/>
              <w:snapToGrid w:val="false"/>
              <w:spacing w:lineRule="auto" w:line="240" w:before="0" w:after="0"/>
              <w:jc w:val="left"/>
              <w:rPr>
                <w:shd w:fill="auto" w:val="clear"/>
              </w:rPr>
            </w:pPr>
            <w:r>
              <w:rPr>
                <w:shd w:fill="auto" w:val="clear"/>
              </w:rPr>
              <w:drawing>
                <wp:anchor behindDoc="0" distT="0" distB="0" distL="0" distR="0" simplePos="0" locked="0" layoutInCell="1" allowOverlap="1" relativeHeight="2">
                  <wp:simplePos x="0" y="0"/>
                  <wp:positionH relativeFrom="column">
                    <wp:posOffset>91440</wp:posOffset>
                  </wp:positionH>
                  <wp:positionV relativeFrom="paragraph">
                    <wp:posOffset>19685</wp:posOffset>
                  </wp:positionV>
                  <wp:extent cx="1045845" cy="359410"/>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460" t="-1320" r="-460" b="-1320"/>
                          <a:stretch>
                            <a:fillRect/>
                          </a:stretch>
                        </pic:blipFill>
                        <pic:spPr bwMode="auto">
                          <a:xfrm>
                            <a:off x="0" y="0"/>
                            <a:ext cx="1045845" cy="359410"/>
                          </a:xfrm>
                          <a:prstGeom prst="rect">
                            <a:avLst/>
                          </a:prstGeom>
                        </pic:spPr>
                      </pic:pic>
                    </a:graphicData>
                  </a:graphic>
                </wp:anchor>
              </w:drawing>
            </w:r>
          </w:p>
        </w:tc>
        <w:tc>
          <w:tcPr>
            <w:tcW w:w="2101" w:type="dxa"/>
            <w:tcBorders/>
          </w:tcPr>
          <w:p>
            <w:pPr>
              <w:pStyle w:val="Style27"/>
              <w:widowControl w:val="false"/>
              <w:suppressLineNumbers/>
              <w:bidi w:val="0"/>
              <w:spacing w:lineRule="auto" w:line="240" w:before="0" w:after="0"/>
              <w:ind w:left="0" w:right="0" w:hanging="0"/>
              <w:jc w:val="left"/>
              <w:rPr>
                <w:rFonts w:cs="Times New Roman"/>
                <w:sz w:val="14"/>
                <w:szCs w:val="14"/>
                <w:shd w:fill="auto" w:val="clear"/>
                <w:lang w:val="uk-UA"/>
              </w:rPr>
            </w:pPr>
            <w:r>
              <w:rPr>
                <w:rFonts w:cs="Times New Roman"/>
                <w:sz w:val="14"/>
                <w:szCs w:val="14"/>
                <w:shd w:fill="auto" w:val="clear"/>
                <w:lang w:val="uk-UA"/>
              </w:rPr>
              <w:t>АФ у формі ТОВ «Азимут»</w:t>
            </w:r>
          </w:p>
          <w:p>
            <w:pPr>
              <w:pStyle w:val="Style27"/>
              <w:widowControl w:val="false"/>
              <w:suppressLineNumbers/>
              <w:bidi w:val="0"/>
              <w:spacing w:lineRule="auto" w:line="240" w:before="0" w:after="0"/>
              <w:ind w:left="0" w:right="0" w:hanging="0"/>
              <w:jc w:val="left"/>
              <w:rPr/>
            </w:pPr>
            <w:r>
              <w:rPr>
                <w:rFonts w:cs="Times New Roman"/>
                <w:sz w:val="14"/>
                <w:szCs w:val="14"/>
                <w:shd w:fill="auto" w:val="clear"/>
                <w:lang w:val="ru-RU"/>
              </w:rPr>
              <w:t xml:space="preserve">Номер у </w:t>
            </w:r>
            <w:r>
              <w:rPr>
                <w:rFonts w:cs="Times New Roman"/>
                <w:sz w:val="14"/>
                <w:szCs w:val="14"/>
                <w:shd w:fill="auto" w:val="clear"/>
                <w:lang w:val="uk-UA"/>
              </w:rPr>
              <w:t>Р</w:t>
            </w:r>
            <w:r>
              <w:rPr>
                <w:rFonts w:cs="Times New Roman"/>
                <w:sz w:val="14"/>
                <w:szCs w:val="14"/>
                <w:shd w:fill="auto" w:val="clear"/>
                <w:lang w:val="ru-RU"/>
              </w:rPr>
              <w:t>е</w:t>
            </w:r>
            <w:r>
              <w:rPr>
                <w:rFonts w:cs="Times New Roman"/>
                <w:sz w:val="14"/>
                <w:szCs w:val="14"/>
                <w:shd w:fill="auto" w:val="clear"/>
                <w:lang w:val="uk-UA"/>
              </w:rPr>
              <w:t>єстрі САД 0376</w:t>
            </w:r>
          </w:p>
          <w:p>
            <w:pPr>
              <w:pStyle w:val="Normal"/>
              <w:widowControl w:val="false"/>
              <w:suppressLineNumbers/>
              <w:bidi w:val="0"/>
              <w:spacing w:lineRule="auto" w:line="240" w:before="0" w:after="0"/>
              <w:ind w:left="0" w:right="0" w:hanging="0"/>
              <w:jc w:val="left"/>
              <w:rPr>
                <w:rFonts w:cs="Times New Roman"/>
                <w:sz w:val="14"/>
                <w:szCs w:val="14"/>
                <w:shd w:fill="auto" w:val="clear"/>
                <w:lang w:val="uk-UA"/>
              </w:rPr>
            </w:pPr>
            <w:r>
              <w:rPr>
                <w:rFonts w:cs="Times New Roman"/>
                <w:sz w:val="14"/>
                <w:szCs w:val="14"/>
                <w:shd w:fill="auto" w:val="clear"/>
                <w:lang w:val="uk-UA"/>
              </w:rPr>
              <w:t>Код ЄДРПОУ 22675684</w:t>
            </w:r>
          </w:p>
          <w:p>
            <w:pPr>
              <w:pStyle w:val="Normal"/>
              <w:widowControl w:val="false"/>
              <w:suppressLineNumbers/>
              <w:bidi w:val="0"/>
              <w:spacing w:lineRule="auto" w:line="240" w:before="0" w:after="0"/>
              <w:ind w:left="0" w:right="0" w:hanging="0"/>
              <w:jc w:val="left"/>
              <w:rPr>
                <w:sz w:val="14"/>
                <w:szCs w:val="14"/>
                <w:shd w:fill="auto" w:val="clear"/>
              </w:rPr>
            </w:pPr>
            <w:r>
              <w:rPr>
                <w:sz w:val="14"/>
                <w:szCs w:val="14"/>
                <w:shd w:fill="auto" w:val="clear"/>
              </w:rPr>
              <mc:AlternateContent>
                <mc:Choice Requires="wps">
                  <w:drawing>
                    <wp:anchor behindDoc="0" distT="15875" distB="15875" distL="15875" distR="15875" simplePos="0" locked="0" layoutInCell="0" allowOverlap="1" relativeHeight="3">
                      <wp:simplePos x="0" y="0"/>
                      <wp:positionH relativeFrom="column">
                        <wp:posOffset>-3023235</wp:posOffset>
                      </wp:positionH>
                      <wp:positionV relativeFrom="paragraph">
                        <wp:posOffset>124460</wp:posOffset>
                      </wp:positionV>
                      <wp:extent cx="6113780" cy="635"/>
                      <wp:effectExtent l="15875" t="15875" r="15875" b="15875"/>
                      <wp:wrapNone/>
                      <wp:docPr id="2" name="Фигура1_1"/>
                      <a:graphic xmlns:a="http://schemas.openxmlformats.org/drawingml/2006/main">
                        <a:graphicData uri="http://schemas.microsoft.com/office/word/2010/wordprocessingShape">
                          <wps:wsp>
                            <wps:cNvSpPr/>
                            <wps:spPr>
                              <a:xfrm>
                                <a:off x="0" y="0"/>
                                <a:ext cx="6113880" cy="720"/>
                              </a:xfrm>
                              <a:prstGeom prst="line">
                                <a:avLst/>
                              </a:prstGeom>
                              <a:ln w="31680">
                                <a:solidFill>
                                  <a:srgbClr val="3399ff"/>
                                </a:solidFill>
                                <a:round/>
                              </a:ln>
                            </wps:spPr>
                            <wps:style>
                              <a:lnRef idx="0"/>
                              <a:fillRef idx="0"/>
                              <a:effectRef idx="0"/>
                              <a:fontRef idx="minor"/>
                            </wps:style>
                            <wps:bodyPr/>
                          </wps:wsp>
                        </a:graphicData>
                      </a:graphic>
                    </wp:anchor>
                  </w:drawing>
                </mc:Choice>
                <mc:Fallback>
                  <w:pict>
                    <v:line id="shape_0" from="-238.05pt,9.8pt" to="243.3pt,9.8pt" ID="Фигура1_1" stroked="t" o:allowincell="f" style="position:absolute">
                      <v:stroke color="#3399ff" weight="3168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4">
                      <wp:simplePos x="0" y="0"/>
                      <wp:positionH relativeFrom="column">
                        <wp:posOffset>-2983865</wp:posOffset>
                      </wp:positionH>
                      <wp:positionV relativeFrom="paragraph">
                        <wp:posOffset>118745</wp:posOffset>
                      </wp:positionV>
                      <wp:extent cx="6113780" cy="5715"/>
                      <wp:effectExtent l="5080" t="5080" r="5080" b="5080"/>
                      <wp:wrapNone/>
                      <wp:docPr id="3" name="Фигура1_2"/>
                      <a:graphic xmlns:a="http://schemas.openxmlformats.org/drawingml/2006/main">
                        <a:graphicData uri="http://schemas.microsoft.com/office/word/2010/wordprocessingShape">
                          <wps:wsp>
                            <wps:cNvSpPr/>
                            <wps:spPr>
                              <a:xfrm>
                                <a:off x="0" y="0"/>
                                <a:ext cx="6113880" cy="5760"/>
                              </a:xfrm>
                              <a:prstGeom prst="line">
                                <a:avLst/>
                              </a:prstGeom>
                              <a:ln w="9360">
                                <a:solidFill>
                                  <a:srgbClr val="3399ff"/>
                                </a:solidFill>
                                <a:round/>
                              </a:ln>
                            </wps:spPr>
                            <wps:style>
                              <a:lnRef idx="0"/>
                              <a:fillRef idx="0"/>
                              <a:effectRef idx="0"/>
                              <a:fontRef idx="minor"/>
                            </wps:style>
                            <wps:bodyPr/>
                          </wps:wsp>
                        </a:graphicData>
                      </a:graphic>
                    </wp:anchor>
                  </w:drawing>
                </mc:Choice>
                <mc:Fallback>
                  <w:pict>
                    <v:line id="shape_0" from="-234.95pt,9.35pt" to="246.4pt,9.75pt" ID="Фигура1_2" stroked="t" o:allowincell="f" style="position:absolute">
                      <v:stroke color="#3399ff" weight="9360" joinstyle="round" endcap="flat"/>
                      <v:fill o:detectmouseclick="t" on="false"/>
                      <w10:wrap type="none"/>
                    </v:line>
                  </w:pict>
                </mc:Fallback>
              </mc:AlternateContent>
            </w:r>
          </w:p>
        </w:tc>
        <w:tc>
          <w:tcPr>
            <w:tcW w:w="3000" w:type="dxa"/>
            <w:tcBorders/>
          </w:tcPr>
          <w:p>
            <w:pPr>
              <w:pStyle w:val="Style27"/>
              <w:widowControl w:val="false"/>
              <w:suppressLineNumbers/>
              <w:bidi w:val="0"/>
              <w:spacing w:lineRule="auto" w:line="240" w:before="0" w:after="0"/>
              <w:ind w:left="0" w:right="0" w:hanging="0"/>
              <w:jc w:val="left"/>
              <w:rPr>
                <w:rFonts w:cs="Times New Roman"/>
                <w:sz w:val="14"/>
                <w:szCs w:val="14"/>
                <w:shd w:fill="auto" w:val="clear"/>
                <w:lang w:val="uk-UA"/>
              </w:rPr>
            </w:pPr>
            <w:r>
              <w:rPr>
                <w:rFonts w:cs="Times New Roman"/>
                <w:sz w:val="14"/>
                <w:szCs w:val="14"/>
                <w:shd w:fill="auto" w:val="clear"/>
                <w:lang w:val="uk-UA"/>
              </w:rPr>
              <w:t>вул.Тобольська, 42А, Харків, 61072, Україна</w:t>
            </w:r>
          </w:p>
          <w:p>
            <w:pPr>
              <w:pStyle w:val="Style27"/>
              <w:widowControl w:val="false"/>
              <w:suppressLineNumbers/>
              <w:tabs>
                <w:tab w:val="clear" w:pos="709"/>
                <w:tab w:val="left" w:pos="169" w:leader="none"/>
              </w:tabs>
              <w:bidi w:val="0"/>
              <w:spacing w:lineRule="auto" w:line="240" w:before="0" w:after="0"/>
              <w:ind w:left="0" w:right="-170" w:hanging="0"/>
              <w:jc w:val="left"/>
              <w:rPr>
                <w:rFonts w:cs="Times New Roman"/>
                <w:sz w:val="14"/>
                <w:szCs w:val="14"/>
                <w:shd w:fill="auto" w:val="clear"/>
                <w:lang w:val="uk-UA"/>
              </w:rPr>
            </w:pPr>
            <w:r>
              <w:rPr>
                <w:rFonts w:cs="Times New Roman"/>
                <w:sz w:val="14"/>
                <w:szCs w:val="14"/>
                <w:shd w:fill="auto" w:val="clear"/>
                <w:lang w:val="uk-UA"/>
              </w:rPr>
              <w:t xml:space="preserve">Тел.: (057) 717-51-46, (057) 717-51-36 </w:t>
            </w:r>
          </w:p>
          <w:p>
            <w:pPr>
              <w:pStyle w:val="Style27"/>
              <w:widowControl w:val="false"/>
              <w:suppressLineNumbers/>
              <w:bidi w:val="0"/>
              <w:spacing w:lineRule="auto" w:line="240" w:before="0" w:after="0"/>
              <w:ind w:left="0" w:right="-170" w:hanging="0"/>
              <w:jc w:val="left"/>
              <w:rPr>
                <w:rFonts w:cs="Times New Roman"/>
                <w:sz w:val="14"/>
                <w:szCs w:val="14"/>
                <w:shd w:fill="auto" w:val="clear"/>
                <w:lang w:val="uk-UA"/>
              </w:rPr>
            </w:pPr>
            <w:r>
              <w:rPr>
                <w:rFonts w:cs="Times New Roman"/>
                <w:sz w:val="14"/>
                <w:szCs w:val="14"/>
                <w:shd w:fill="auto" w:val="clear"/>
                <w:lang w:val="uk-UA"/>
              </w:rPr>
              <w:t>Email: azimut.audit@gmail.com</w:t>
            </w:r>
          </w:p>
        </w:tc>
      </w:tr>
    </w:tbl>
    <w:p>
      <w:pPr>
        <w:pStyle w:val="Normal"/>
        <w:spacing w:before="57" w:after="57"/>
        <w:ind w:left="57" w:right="0" w:firstLine="567"/>
        <w:rPr>
          <w:rFonts w:ascii="Arial" w:hAnsi="Arial" w:cs="Arial"/>
          <w:sz w:val="21"/>
          <w:szCs w:val="21"/>
          <w:lang w:val="uk-UA"/>
        </w:rPr>
      </w:pPr>
      <w:r>
        <w:rPr>
          <w:rFonts w:cs="Arial" w:ascii="Arial" w:hAnsi="Arial"/>
          <w:sz w:val="21"/>
          <w:szCs w:val="21"/>
          <w:lang w:val="uk-UA"/>
        </w:rPr>
      </w:r>
    </w:p>
    <w:p>
      <w:pPr>
        <w:pStyle w:val="Normal"/>
        <w:spacing w:before="57" w:after="57"/>
        <w:ind w:left="57" w:right="0" w:firstLine="567"/>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57" w:after="57"/>
        <w:ind w:left="57" w:right="0" w:firstLine="567"/>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ЗВІТ НЕЗАЛЕЖНОГО АУДИТОРА</w:t>
      </w:r>
    </w:p>
    <w:p>
      <w:pPr>
        <w:pStyle w:val="Normal"/>
        <w:spacing w:before="57" w:after="57"/>
        <w:ind w:left="57" w:right="0" w:firstLine="567"/>
        <w:jc w:val="center"/>
        <w:rPr/>
      </w:pPr>
      <w:r>
        <w:rPr>
          <w:rFonts w:cs="Times New Roman" w:ascii="Times New Roman" w:hAnsi="Times New Roman"/>
          <w:b/>
          <w:bCs/>
          <w:sz w:val="26"/>
          <w:szCs w:val="26"/>
          <w:lang w:val="uk-UA"/>
        </w:rPr>
        <w:t xml:space="preserve">щодо фінансової звітності </w:t>
      </w:r>
      <w:r>
        <w:rPr>
          <w:rFonts w:cs="Times New Roman" w:ascii="Times New Roman" w:hAnsi="Times New Roman"/>
          <w:b/>
          <w:bCs/>
          <w:i w:val="false"/>
          <w:iCs w:val="false"/>
          <w:sz w:val="26"/>
          <w:szCs w:val="26"/>
          <w:lang w:val="uk-UA" w:eastAsia="ar-SA" w:bidi="ar-SA"/>
        </w:rPr>
        <w:t>Товариства з обмеженою відповідальністю</w:t>
      </w:r>
    </w:p>
    <w:p>
      <w:pPr>
        <w:pStyle w:val="Normal"/>
        <w:spacing w:before="57" w:after="57"/>
        <w:ind w:left="57" w:right="0" w:hanging="0"/>
        <w:jc w:val="center"/>
        <w:rPr/>
      </w:pPr>
      <w:r>
        <w:rPr>
          <w:rFonts w:cs="Times New Roman" w:ascii="Times New Roman" w:hAnsi="Times New Roman"/>
          <w:b/>
          <w:bCs/>
          <w:i w:val="false"/>
          <w:iCs w:val="false"/>
          <w:sz w:val="26"/>
          <w:szCs w:val="26"/>
          <w:lang w:val="uk-UA" w:eastAsia="ar-SA" w:bidi="ar-SA"/>
        </w:rPr>
        <w:t>“</w:t>
      </w:r>
      <w:r>
        <w:rPr>
          <w:rFonts w:cs="Times New Roman" w:ascii="Times New Roman" w:hAnsi="Times New Roman"/>
          <w:b/>
          <w:bCs/>
          <w:i w:val="false"/>
          <w:iCs w:val="false"/>
          <w:sz w:val="26"/>
          <w:szCs w:val="26"/>
          <w:lang w:val="uk-UA" w:eastAsia="ar-SA" w:bidi="ar-SA"/>
        </w:rPr>
        <w:t>ТД И</w:t>
      </w:r>
      <w:r>
        <w:rPr>
          <w:rFonts w:eastAsia="SimSun" w:cs="Times New Roman" w:ascii="Times New Roman" w:hAnsi="Times New Roman"/>
          <w:b/>
          <w:bCs/>
          <w:i w:val="false"/>
          <w:iCs w:val="false"/>
          <w:color w:val="auto"/>
          <w:kern w:val="2"/>
          <w:sz w:val="26"/>
          <w:szCs w:val="26"/>
          <w:lang w:val="uk-UA" w:eastAsia="ar-SA" w:bidi="ar-SA"/>
        </w:rPr>
        <w:t>РБИС”</w:t>
      </w:r>
    </w:p>
    <w:p>
      <w:pPr>
        <w:pStyle w:val="Normal"/>
        <w:spacing w:before="57" w:after="57"/>
        <w:ind w:left="57" w:right="0" w:firstLine="567"/>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pPr>
      <w:r>
        <w:rPr>
          <w:rFonts w:cs="Times New Roman" w:ascii="Times New Roman" w:hAnsi="Times New Roman"/>
          <w:b w:val="false"/>
          <w:bCs w:val="false"/>
          <w:i w:val="false"/>
          <w:iCs w:val="false"/>
          <w:sz w:val="24"/>
          <w:szCs w:val="24"/>
          <w:lang w:val="uk-UA" w:eastAsia="ar-SA" w:bidi="ar-SA"/>
        </w:rPr>
        <w:t xml:space="preserve">- </w:t>
      </w:r>
      <w:r>
        <w:rPr>
          <w:rFonts w:eastAsia="SimSun" w:cs="Times New Roman" w:ascii="Times New Roman" w:hAnsi="Times New Roman"/>
          <w:b w:val="false"/>
          <w:bCs w:val="false"/>
          <w:i w:val="false"/>
          <w:iCs w:val="false"/>
          <w:color w:val="auto"/>
          <w:kern w:val="2"/>
          <w:sz w:val="24"/>
          <w:szCs w:val="24"/>
          <w:lang w:val="en-US" w:eastAsia="ar-SA" w:bidi="ar-SA"/>
        </w:rPr>
        <w:t>У</w:t>
      </w:r>
      <w:r>
        <w:rPr>
          <w:rFonts w:eastAsia="SimSun" w:cs="Times New Roman" w:ascii="Times New Roman" w:hAnsi="Times New Roman"/>
          <w:b w:val="false"/>
          <w:bCs w:val="false"/>
          <w:i w:val="false"/>
          <w:iCs w:val="false"/>
          <w:color w:val="auto"/>
          <w:kern w:val="2"/>
          <w:sz w:val="24"/>
          <w:szCs w:val="24"/>
          <w:lang w:val="uk-UA" w:eastAsia="ar-SA" w:bidi="ar-SA"/>
        </w:rPr>
        <w:t>часникам</w:t>
      </w:r>
      <w:r>
        <w:rPr>
          <w:rFonts w:cs="Times New Roman" w:ascii="Times New Roman" w:hAnsi="Times New Roman"/>
          <w:b w:val="false"/>
          <w:bCs w:val="false"/>
          <w:i w:val="false"/>
          <w:iCs w:val="false"/>
          <w:sz w:val="24"/>
          <w:szCs w:val="24"/>
          <w:lang w:val="uk-UA" w:eastAsia="ar-SA" w:bidi="ar-SA"/>
        </w:rPr>
        <w:t xml:space="preserve"> та управлінському персоналу </w:t>
      </w:r>
    </w:p>
    <w:p>
      <w:pPr>
        <w:pStyle w:val="Normal"/>
        <w:jc w:val="both"/>
        <w:rPr/>
      </w:pPr>
      <w:r>
        <w:rPr>
          <w:rFonts w:eastAsia="Times New Roman" w:cs="Times New Roman" w:ascii="Times New Roman" w:hAnsi="Times New Roman"/>
          <w:b w:val="false"/>
          <w:bCs w:val="false"/>
          <w:i w:val="false"/>
          <w:iCs w:val="false"/>
          <w:sz w:val="24"/>
          <w:szCs w:val="24"/>
          <w:lang w:val="uk-UA" w:eastAsia="ar-SA" w:bidi="ar-SA"/>
        </w:rPr>
        <w:t xml:space="preserve"> </w:t>
      </w:r>
      <w:r>
        <w:rPr>
          <w:rFonts w:cs="Times New Roman" w:ascii="Times New Roman" w:hAnsi="Times New Roman"/>
          <w:b w:val="false"/>
          <w:bCs w:val="false"/>
          <w:i w:val="false"/>
          <w:iCs w:val="false"/>
          <w:sz w:val="24"/>
          <w:szCs w:val="24"/>
          <w:lang w:val="uk-UA" w:eastAsia="ar-SA" w:bidi="ar-SA"/>
        </w:rPr>
        <w:t>Товариства з обмеженою відповідальністю “ТД И</w:t>
      </w:r>
      <w:r>
        <w:rPr>
          <w:rFonts w:eastAsia="SimSun" w:cs="Times New Roman" w:ascii="Times New Roman" w:hAnsi="Times New Roman"/>
          <w:b w:val="false"/>
          <w:bCs w:val="false"/>
          <w:i w:val="false"/>
          <w:iCs w:val="false"/>
          <w:color w:val="auto"/>
          <w:kern w:val="2"/>
          <w:sz w:val="24"/>
          <w:szCs w:val="24"/>
          <w:lang w:val="uk-UA" w:eastAsia="ar-SA" w:bidi="ar-SA"/>
        </w:rPr>
        <w:t>РБИС</w:t>
      </w:r>
      <w:r>
        <w:rPr>
          <w:rFonts w:cs="Times New Roman" w:ascii="Times New Roman" w:hAnsi="Times New Roman"/>
          <w:b w:val="false"/>
          <w:bCs w:val="false"/>
          <w:i w:val="false"/>
          <w:iCs w:val="false"/>
          <w:sz w:val="24"/>
          <w:szCs w:val="24"/>
          <w:lang w:val="uk-UA" w:eastAsia="ar-SA" w:bidi="ar-SA"/>
        </w:rPr>
        <w:t>”</w:t>
      </w:r>
    </w:p>
    <w:p>
      <w:pPr>
        <w:pStyle w:val="Normal"/>
        <w:jc w:val="both"/>
        <w:rPr>
          <w:rFonts w:ascii="Times New Roman" w:hAnsi="Times New Roman" w:cs="Times New Roman"/>
          <w:b w:val="false"/>
          <w:b w:val="false"/>
          <w:bCs w:val="false"/>
          <w:i w:val="false"/>
          <w:i w:val="false"/>
          <w:iCs w:val="false"/>
          <w:sz w:val="24"/>
          <w:szCs w:val="24"/>
          <w:lang w:val="uk-UA" w:eastAsia="ar-SA" w:bidi="ar-SA"/>
        </w:rPr>
      </w:pPr>
      <w:r>
        <w:rPr>
          <w:rFonts w:cs="Times New Roman" w:ascii="Times New Roman" w:hAnsi="Times New Roman"/>
          <w:b w:val="false"/>
          <w:bCs w:val="false"/>
          <w:i w:val="false"/>
          <w:iCs w:val="false"/>
          <w:sz w:val="24"/>
          <w:szCs w:val="24"/>
          <w:lang w:val="uk-UA" w:eastAsia="ar-SA" w:bidi="ar-SA"/>
        </w:rPr>
      </w:r>
    </w:p>
    <w:p>
      <w:pPr>
        <w:pStyle w:val="Normal"/>
        <w:jc w:val="both"/>
        <w:rPr>
          <w:rFonts w:ascii="Times New Roman" w:hAnsi="Times New Roman" w:cs="Times New Roman"/>
          <w:b w:val="false"/>
          <w:b w:val="false"/>
          <w:bCs w:val="false"/>
          <w:i w:val="false"/>
          <w:i w:val="false"/>
          <w:iCs w:val="false"/>
          <w:sz w:val="24"/>
          <w:szCs w:val="24"/>
          <w:lang w:val="uk-UA" w:eastAsia="ar-SA" w:bidi="ar-SA"/>
        </w:rPr>
      </w:pPr>
      <w:r>
        <w:rPr>
          <w:rFonts w:cs="Times New Roman" w:ascii="Times New Roman" w:hAnsi="Times New Roman"/>
          <w:b w:val="false"/>
          <w:bCs w:val="false"/>
          <w:i w:val="false"/>
          <w:iCs w:val="false"/>
          <w:sz w:val="24"/>
          <w:szCs w:val="24"/>
          <w:lang w:val="uk-UA" w:eastAsia="ar-SA" w:bidi="ar-SA"/>
        </w:rPr>
      </w:r>
    </w:p>
    <w:p>
      <w:pPr>
        <w:pStyle w:val="Normal"/>
        <w:spacing w:lineRule="auto" w:line="276" w:before="57" w:after="57"/>
        <w:ind w:left="57" w:right="0" w:firstLine="567"/>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 xml:space="preserve">Звіт щодо аудиту фінансової звітності </w:t>
      </w:r>
    </w:p>
    <w:p>
      <w:pPr>
        <w:pStyle w:val="Normal"/>
        <w:spacing w:lineRule="auto" w:line="276"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Думка</w:t>
      </w:r>
    </w:p>
    <w:p>
      <w:pPr>
        <w:pStyle w:val="Normal"/>
        <w:spacing w:lineRule="auto" w:line="276" w:before="57" w:after="57"/>
        <w:ind w:left="57" w:right="0" w:firstLine="567"/>
        <w:jc w:val="both"/>
        <w:rPr/>
      </w:pPr>
      <w:r>
        <w:rPr>
          <w:rFonts w:cs="Times New Roman" w:ascii="Times New Roman" w:hAnsi="Times New Roman"/>
          <w:spacing w:val="6"/>
          <w:sz w:val="24"/>
          <w:szCs w:val="24"/>
          <w:lang w:val="uk-UA"/>
        </w:rPr>
        <w:t xml:space="preserve">Ми провели аудит фінансової звітності </w:t>
      </w:r>
      <w:r>
        <w:rPr>
          <w:rFonts w:cs="Times New Roman" w:ascii="Times New Roman" w:hAnsi="Times New Roman"/>
          <w:b w:val="false"/>
          <w:bCs w:val="false"/>
          <w:i w:val="false"/>
          <w:iCs w:val="false"/>
          <w:spacing w:val="6"/>
          <w:sz w:val="24"/>
          <w:szCs w:val="24"/>
          <w:lang w:val="uk-UA" w:eastAsia="ar-SA" w:bidi="ar-SA"/>
        </w:rPr>
        <w:t>Товариства з обмеженою відповідальністю “ТД И</w:t>
      </w:r>
      <w:r>
        <w:rPr>
          <w:rFonts w:eastAsia="SimSun" w:cs="Times New Roman" w:ascii="Times New Roman" w:hAnsi="Times New Roman"/>
          <w:b w:val="false"/>
          <w:bCs w:val="false"/>
          <w:i w:val="false"/>
          <w:iCs w:val="false"/>
          <w:color w:val="auto"/>
          <w:spacing w:val="6"/>
          <w:kern w:val="2"/>
          <w:sz w:val="24"/>
          <w:szCs w:val="24"/>
          <w:lang w:val="uk-UA" w:eastAsia="ar-SA" w:bidi="ar-SA"/>
        </w:rPr>
        <w:t>РБИС</w:t>
      </w:r>
      <w:r>
        <w:rPr>
          <w:rFonts w:cs="Times New Roman" w:ascii="Times New Roman" w:hAnsi="Times New Roman"/>
          <w:b w:val="false"/>
          <w:bCs w:val="false"/>
          <w:i w:val="false"/>
          <w:iCs w:val="false"/>
          <w:spacing w:val="6"/>
          <w:sz w:val="24"/>
          <w:szCs w:val="24"/>
          <w:lang w:val="uk-UA" w:eastAsia="ar-SA" w:bidi="ar-SA"/>
        </w:rPr>
        <w:t>”</w:t>
      </w:r>
      <w:r>
        <w:rPr>
          <w:rFonts w:cs="Times New Roman" w:ascii="Times New Roman" w:hAnsi="Times New Roman"/>
          <w:spacing w:val="6"/>
          <w:sz w:val="24"/>
          <w:szCs w:val="24"/>
          <w:lang w:val="uk-UA"/>
        </w:rPr>
        <w:t xml:space="preserve"> </w:t>
      </w:r>
      <w:r>
        <w:rPr>
          <w:rFonts w:cs="Times New Roman" w:ascii="Times New Roman" w:hAnsi="Times New Roman"/>
          <w:sz w:val="24"/>
          <w:szCs w:val="24"/>
          <w:lang w:val="uk-UA"/>
        </w:rPr>
        <w:t>(</w:t>
      </w:r>
      <w:r>
        <w:rPr>
          <w:rFonts w:cs="Times New Roman" w:ascii="Times New Roman" w:hAnsi="Times New Roman"/>
          <w:sz w:val="24"/>
          <w:szCs w:val="24"/>
          <w:lang w:val="uk-UA" w:eastAsia="ar-SA" w:bidi="ar-SA"/>
        </w:rPr>
        <w:t>“</w:t>
      </w:r>
      <w:r>
        <w:rPr>
          <w:rFonts w:cs="Times New Roman" w:ascii="Times New Roman" w:hAnsi="Times New Roman"/>
          <w:sz w:val="24"/>
          <w:szCs w:val="24"/>
          <w:lang w:val="uk-UA"/>
        </w:rPr>
        <w:t>Компанія</w:t>
      </w:r>
      <w:r>
        <w:rPr>
          <w:rFonts w:cs="Times New Roman" w:ascii="Times New Roman" w:hAnsi="Times New Roman"/>
          <w:sz w:val="24"/>
          <w:szCs w:val="24"/>
          <w:lang w:val="uk-UA" w:eastAsia="ar-SA" w:bidi="ar-SA"/>
        </w:rPr>
        <w:t>”</w:t>
      </w:r>
      <w:r>
        <w:rPr>
          <w:rFonts w:cs="Times New Roman" w:ascii="Times New Roman" w:hAnsi="Times New Roman"/>
          <w:sz w:val="24"/>
          <w:szCs w:val="24"/>
          <w:lang w:val="uk-UA"/>
        </w:rPr>
        <w:t>), що складається з:</w:t>
      </w:r>
    </w:p>
    <w:p>
      <w:pPr>
        <w:pStyle w:val="Normal"/>
        <w:numPr>
          <w:ilvl w:val="0"/>
          <w:numId w:val="2"/>
        </w:numPr>
        <w:spacing w:before="28" w:after="28"/>
        <w:jc w:val="both"/>
        <w:rPr/>
      </w:pPr>
      <w:r>
        <w:rPr>
          <w:rFonts w:cs="Times New Roman" w:ascii="Times New Roman" w:hAnsi="Times New Roman"/>
          <w:sz w:val="24"/>
          <w:szCs w:val="24"/>
          <w:lang w:val="uk-UA" w:eastAsia="ar-SA" w:bidi="ar-SA"/>
        </w:rPr>
        <w:t>балансу (звіту про фінансовий стан) на 31 грудня 20</w:t>
      </w:r>
      <w:r>
        <w:rPr>
          <w:rFonts w:eastAsia="SimSun" w:cs="Times New Roman" w:ascii="Times New Roman" w:hAnsi="Times New Roman"/>
          <w:color w:val="auto"/>
          <w:kern w:val="2"/>
          <w:sz w:val="24"/>
          <w:szCs w:val="24"/>
          <w:lang w:val="uk-UA" w:eastAsia="ar-SA" w:bidi="ar-SA"/>
        </w:rPr>
        <w:t>21</w:t>
      </w:r>
      <w:r>
        <w:rPr>
          <w:rFonts w:cs="Times New Roman" w:ascii="Times New Roman" w:hAnsi="Times New Roman"/>
          <w:sz w:val="24"/>
          <w:szCs w:val="24"/>
          <w:lang w:val="uk-UA" w:eastAsia="ar-SA" w:bidi="ar-SA"/>
        </w:rPr>
        <w:t xml:space="preserve"> року;</w:t>
      </w:r>
    </w:p>
    <w:p>
      <w:pPr>
        <w:pStyle w:val="Normal"/>
        <w:numPr>
          <w:ilvl w:val="0"/>
          <w:numId w:val="2"/>
        </w:numPr>
        <w:spacing w:before="28" w:after="28"/>
        <w:jc w:val="both"/>
        <w:rPr/>
      </w:pPr>
      <w:r>
        <w:rPr>
          <w:rFonts w:cs="Times New Roman" w:ascii="Times New Roman" w:hAnsi="Times New Roman"/>
          <w:sz w:val="24"/>
          <w:szCs w:val="24"/>
          <w:lang w:val="uk-UA" w:eastAsia="ar-SA" w:bidi="ar-SA"/>
        </w:rPr>
        <w:t>звіту про фінансові результати (звіту про сукупний дохід) за 20</w:t>
      </w:r>
      <w:r>
        <w:rPr>
          <w:rFonts w:eastAsia="SimSun" w:cs="Times New Roman" w:ascii="Times New Roman" w:hAnsi="Times New Roman"/>
          <w:color w:val="auto"/>
          <w:kern w:val="2"/>
          <w:sz w:val="24"/>
          <w:szCs w:val="24"/>
          <w:lang w:val="uk-UA" w:eastAsia="ar-SA" w:bidi="ar-SA"/>
        </w:rPr>
        <w:t>21</w:t>
      </w:r>
      <w:r>
        <w:rPr>
          <w:rFonts w:cs="Times New Roman" w:ascii="Times New Roman" w:hAnsi="Times New Roman"/>
          <w:sz w:val="24"/>
          <w:szCs w:val="24"/>
          <w:lang w:val="uk-UA" w:eastAsia="ar-SA" w:bidi="ar-SA"/>
        </w:rPr>
        <w:t xml:space="preserve"> рік;</w:t>
      </w:r>
    </w:p>
    <w:p>
      <w:pPr>
        <w:pStyle w:val="Normal"/>
        <w:numPr>
          <w:ilvl w:val="0"/>
          <w:numId w:val="2"/>
        </w:numPr>
        <w:spacing w:before="28" w:after="28"/>
        <w:jc w:val="both"/>
        <w:rPr/>
      </w:pPr>
      <w:r>
        <w:rPr>
          <w:rFonts w:cs="Times New Roman" w:ascii="Times New Roman" w:hAnsi="Times New Roman"/>
          <w:sz w:val="24"/>
          <w:szCs w:val="24"/>
          <w:lang w:val="uk-UA" w:eastAsia="ar-SA" w:bidi="ar-SA"/>
        </w:rPr>
        <w:t>звіту про рух грошових коштів (за прямим методом) за 20</w:t>
      </w:r>
      <w:r>
        <w:rPr>
          <w:rFonts w:eastAsia="SimSun" w:cs="Times New Roman" w:ascii="Times New Roman" w:hAnsi="Times New Roman"/>
          <w:color w:val="auto"/>
          <w:kern w:val="2"/>
          <w:sz w:val="24"/>
          <w:szCs w:val="24"/>
          <w:lang w:val="uk-UA" w:eastAsia="ar-SA" w:bidi="ar-SA"/>
        </w:rPr>
        <w:t>21</w:t>
      </w:r>
      <w:r>
        <w:rPr>
          <w:rFonts w:cs="Times New Roman" w:ascii="Times New Roman" w:hAnsi="Times New Roman"/>
          <w:sz w:val="24"/>
          <w:szCs w:val="24"/>
          <w:lang w:val="uk-UA" w:eastAsia="ar-SA" w:bidi="ar-SA"/>
        </w:rPr>
        <w:t xml:space="preserve"> рік;</w:t>
      </w:r>
    </w:p>
    <w:p>
      <w:pPr>
        <w:pStyle w:val="Normal"/>
        <w:numPr>
          <w:ilvl w:val="0"/>
          <w:numId w:val="2"/>
        </w:numPr>
        <w:spacing w:before="28" w:after="28"/>
        <w:jc w:val="both"/>
        <w:rPr/>
      </w:pPr>
      <w:r>
        <w:rPr>
          <w:rFonts w:cs="Times New Roman" w:ascii="Times New Roman" w:hAnsi="Times New Roman"/>
          <w:sz w:val="24"/>
          <w:szCs w:val="24"/>
          <w:lang w:val="uk-UA" w:eastAsia="ar-SA" w:bidi="ar-SA"/>
        </w:rPr>
        <w:t>звіту про власний капітал за 20</w:t>
      </w:r>
      <w:r>
        <w:rPr>
          <w:rFonts w:eastAsia="SimSun" w:cs="Times New Roman" w:ascii="Times New Roman" w:hAnsi="Times New Roman"/>
          <w:color w:val="auto"/>
          <w:kern w:val="2"/>
          <w:sz w:val="24"/>
          <w:szCs w:val="24"/>
          <w:lang w:val="uk-UA" w:eastAsia="ar-SA" w:bidi="ar-SA"/>
        </w:rPr>
        <w:t>21</w:t>
      </w:r>
      <w:r>
        <w:rPr>
          <w:rFonts w:cs="Times New Roman" w:ascii="Times New Roman" w:hAnsi="Times New Roman"/>
          <w:sz w:val="24"/>
          <w:szCs w:val="24"/>
          <w:lang w:val="uk-UA" w:eastAsia="ar-SA" w:bidi="ar-SA"/>
        </w:rPr>
        <w:t xml:space="preserve"> рік;</w:t>
      </w:r>
    </w:p>
    <w:p>
      <w:pPr>
        <w:pStyle w:val="Normal"/>
        <w:numPr>
          <w:ilvl w:val="0"/>
          <w:numId w:val="2"/>
        </w:numPr>
        <w:spacing w:before="28" w:after="28"/>
        <w:jc w:val="both"/>
        <w:rPr/>
      </w:pPr>
      <w:r>
        <w:rPr>
          <w:rFonts w:cs="Times New Roman" w:ascii="Times New Roman" w:hAnsi="Times New Roman"/>
          <w:sz w:val="24"/>
          <w:szCs w:val="24"/>
          <w:lang w:val="uk-UA" w:eastAsia="ar-SA" w:bidi="ar-SA"/>
        </w:rPr>
        <w:t>приміток до річної фінансової звітності за 20</w:t>
      </w:r>
      <w:r>
        <w:rPr>
          <w:rFonts w:eastAsia="SimSun" w:cs="Times New Roman" w:ascii="Times New Roman" w:hAnsi="Times New Roman"/>
          <w:color w:val="auto"/>
          <w:kern w:val="2"/>
          <w:sz w:val="24"/>
          <w:szCs w:val="24"/>
          <w:lang w:val="uk-UA" w:eastAsia="ar-SA" w:bidi="ar-SA"/>
        </w:rPr>
        <w:t>21</w:t>
      </w:r>
      <w:r>
        <w:rPr>
          <w:rFonts w:cs="Times New Roman" w:ascii="Times New Roman" w:hAnsi="Times New Roman"/>
          <w:sz w:val="24"/>
          <w:szCs w:val="24"/>
          <w:lang w:val="uk-UA" w:eastAsia="ar-SA" w:bidi="ar-SA"/>
        </w:rPr>
        <w:t xml:space="preserve"> рік;</w:t>
      </w:r>
    </w:p>
    <w:p>
      <w:pPr>
        <w:pStyle w:val="Normal"/>
        <w:numPr>
          <w:ilvl w:val="0"/>
          <w:numId w:val="2"/>
        </w:numPr>
        <w:spacing w:before="28" w:after="28"/>
        <w:jc w:val="both"/>
        <w:rPr/>
      </w:pPr>
      <w:r>
        <w:rPr>
          <w:rFonts w:cs="Times New Roman" w:ascii="Times New Roman" w:hAnsi="Times New Roman"/>
          <w:spacing w:val="-4"/>
          <w:sz w:val="24"/>
          <w:szCs w:val="24"/>
          <w:lang w:val="uk-UA" w:eastAsia="ar-SA" w:bidi="ar-SA"/>
        </w:rPr>
        <w:t>додат</w:t>
      </w:r>
      <w:r>
        <w:rPr>
          <w:rFonts w:eastAsia="SimSun" w:cs="Times New Roman" w:ascii="Times New Roman" w:hAnsi="Times New Roman"/>
          <w:color w:val="000000"/>
          <w:spacing w:val="-4"/>
          <w:kern w:val="2"/>
          <w:sz w:val="24"/>
          <w:szCs w:val="24"/>
          <w:lang w:val="uk-UA" w:eastAsia="ar-SA" w:bidi="ar-SA"/>
        </w:rPr>
        <w:t>ка</w:t>
      </w:r>
      <w:r>
        <w:rPr>
          <w:rFonts w:cs="Times New Roman" w:ascii="Times New Roman" w:hAnsi="Times New Roman"/>
          <w:spacing w:val="-4"/>
          <w:sz w:val="24"/>
          <w:szCs w:val="24"/>
          <w:lang w:val="uk-UA" w:eastAsia="ar-SA" w:bidi="ar-SA"/>
        </w:rPr>
        <w:t xml:space="preserve"> до Приміток до річної фінансової звітності “Інформація за сегментами” за 20</w:t>
      </w:r>
      <w:r>
        <w:rPr>
          <w:rFonts w:eastAsia="SimSun" w:cs="Times New Roman" w:ascii="Times New Roman" w:hAnsi="Times New Roman"/>
          <w:color w:val="000000"/>
          <w:spacing w:val="-4"/>
          <w:kern w:val="2"/>
          <w:sz w:val="24"/>
          <w:szCs w:val="24"/>
          <w:lang w:val="uk-UA" w:eastAsia="ar-SA" w:bidi="ar-SA"/>
        </w:rPr>
        <w:t>21</w:t>
      </w:r>
      <w:r>
        <w:rPr>
          <w:rFonts w:cs="Times New Roman" w:ascii="Times New Roman" w:hAnsi="Times New Roman"/>
          <w:spacing w:val="-4"/>
          <w:sz w:val="24"/>
          <w:szCs w:val="24"/>
          <w:lang w:val="uk-UA" w:eastAsia="ar-SA" w:bidi="ar-SA"/>
        </w:rPr>
        <w:t xml:space="preserve"> рік.</w:t>
      </w:r>
    </w:p>
    <w:p>
      <w:pPr>
        <w:pStyle w:val="Normal"/>
        <w:spacing w:lineRule="auto" w:line="276" w:before="57" w:after="57"/>
        <w:ind w:left="57" w:right="0" w:firstLine="567"/>
        <w:jc w:val="both"/>
        <w:rPr/>
      </w:pPr>
      <w:r>
        <w:rPr>
          <w:rFonts w:cs="Times New Roman" w:ascii="Times New Roman" w:hAnsi="Times New Roman"/>
          <w:sz w:val="24"/>
          <w:szCs w:val="24"/>
          <w:lang w:val="uk-UA"/>
        </w:rPr>
        <w:t>На нашу думку, фінансова звітність, що додається</w:t>
      </w:r>
      <w:r>
        <w:rPr>
          <w:rFonts w:cs="Times New Roman" w:ascii="Times New Roman" w:hAnsi="Times New Roman"/>
          <w:strike w:val="false"/>
          <w:dstrike w:val="false"/>
          <w:sz w:val="24"/>
          <w:szCs w:val="24"/>
          <w:u w:val="none"/>
          <w:lang w:val="uk-UA"/>
        </w:rPr>
        <w:t xml:space="preserve">, відображає достовірно, в усіх суттєвих аспектах </w:t>
      </w:r>
      <w:r>
        <w:rPr>
          <w:rFonts w:cs="Times New Roman" w:ascii="Times New Roman" w:hAnsi="Times New Roman"/>
          <w:sz w:val="24"/>
          <w:szCs w:val="24"/>
          <w:lang w:val="uk-UA"/>
        </w:rPr>
        <w:t>фінансовий стан Компанії на 31 грудня 20</w:t>
      </w:r>
      <w:r>
        <w:rPr>
          <w:rFonts w:eastAsia="SimSun" w:cs="Times New Roman" w:ascii="Times New Roman" w:hAnsi="Times New Roman"/>
          <w:color w:val="auto"/>
          <w:kern w:val="2"/>
          <w:sz w:val="24"/>
          <w:szCs w:val="24"/>
          <w:lang w:val="uk-UA" w:eastAsia="zh-CN" w:bidi="hi-IN"/>
        </w:rPr>
        <w:t>21</w:t>
      </w:r>
      <w:r>
        <w:rPr>
          <w:rFonts w:cs="Times New Roman" w:ascii="Times New Roman" w:hAnsi="Times New Roman"/>
          <w:sz w:val="24"/>
          <w:szCs w:val="24"/>
          <w:lang w:val="uk-UA"/>
        </w:rPr>
        <w:t xml:space="preserve"> р., та її фінансові результати і грошові потоки за рік, що закінчився зазначеною датою, відповідно до Національних положень (стандартів) бухгалтерського обліку (“Н</w:t>
      </w:r>
      <w:r>
        <w:rPr>
          <w:rFonts w:eastAsia="SimSun" w:cs="Times New Roman" w:ascii="Times New Roman" w:hAnsi="Times New Roman"/>
          <w:color w:val="auto"/>
          <w:kern w:val="2"/>
          <w:sz w:val="24"/>
          <w:szCs w:val="24"/>
          <w:lang w:val="uk-UA" w:eastAsia="zh-CN" w:bidi="hi-IN"/>
        </w:rPr>
        <w:t>П</w:t>
      </w:r>
      <w:r>
        <w:rPr>
          <w:rFonts w:cs="Times New Roman" w:ascii="Times New Roman" w:hAnsi="Times New Roman"/>
          <w:sz w:val="24"/>
          <w:szCs w:val="24"/>
          <w:lang w:val="uk-UA"/>
        </w:rPr>
        <w:t xml:space="preserve">сБО”), </w:t>
      </w:r>
      <w:r>
        <w:rPr>
          <w:rFonts w:eastAsia="SimSun" w:cs="Times New Roman" w:ascii="Times New Roman" w:hAnsi="Times New Roman"/>
          <w:color w:val="000000"/>
          <w:kern w:val="2"/>
          <w:sz w:val="24"/>
          <w:szCs w:val="24"/>
          <w:lang w:val="uk-UA" w:eastAsia="zh-CN" w:bidi="hi-IN"/>
        </w:rPr>
        <w:t>затверджен</w:t>
      </w:r>
      <w:r>
        <w:rPr>
          <w:rFonts w:cs="Times New Roman" w:ascii="Times New Roman" w:hAnsi="Times New Roman"/>
          <w:sz w:val="24"/>
          <w:szCs w:val="24"/>
          <w:lang w:val="uk-UA"/>
        </w:rPr>
        <w:t xml:space="preserve">их в Україні, та вимог Закону України </w:t>
      </w:r>
      <w:r>
        <w:rPr>
          <w:rFonts w:cs="Times New Roman" w:ascii="Times New Roman" w:hAnsi="Times New Roman"/>
          <w:sz w:val="24"/>
          <w:szCs w:val="24"/>
          <w:lang w:val="uk-UA" w:eastAsia="ar-SA" w:bidi="ar-SA"/>
        </w:rPr>
        <w:t>“</w:t>
      </w:r>
      <w:r>
        <w:rPr>
          <w:rFonts w:cs="Times New Roman" w:ascii="Times New Roman" w:hAnsi="Times New Roman"/>
          <w:sz w:val="24"/>
          <w:szCs w:val="24"/>
          <w:lang w:val="uk-UA"/>
        </w:rPr>
        <w:t xml:space="preserve">Про бухгалтерський облік та фінансову </w:t>
      </w:r>
      <w:r>
        <w:rPr>
          <w:rFonts w:cs="Times New Roman" w:ascii="Times New Roman" w:hAnsi="Times New Roman"/>
          <w:spacing w:val="-6"/>
          <w:sz w:val="24"/>
          <w:szCs w:val="24"/>
          <w:lang w:val="uk-UA"/>
        </w:rPr>
        <w:t>звітність в Україні</w:t>
      </w:r>
      <w:r>
        <w:rPr>
          <w:rFonts w:cs="Times New Roman" w:ascii="Times New Roman" w:hAnsi="Times New Roman"/>
          <w:spacing w:val="-6"/>
          <w:sz w:val="24"/>
          <w:szCs w:val="24"/>
          <w:lang w:val="uk-UA" w:eastAsia="ar-SA" w:bidi="ar-SA"/>
        </w:rPr>
        <w:t>”</w:t>
      </w:r>
      <w:r>
        <w:rPr>
          <w:rFonts w:cs="Times New Roman" w:ascii="Times New Roman" w:hAnsi="Times New Roman"/>
          <w:spacing w:val="-6"/>
          <w:sz w:val="24"/>
          <w:szCs w:val="24"/>
          <w:lang w:val="uk-UA"/>
        </w:rPr>
        <w:t xml:space="preserve"> від 16.07.1999 року № 996-XIV (“Закон </w:t>
      </w:r>
      <w:r>
        <w:rPr>
          <w:rFonts w:eastAsia="Tahoma" w:cs="Times New Roman" w:ascii="Times New Roman" w:hAnsi="Times New Roman"/>
          <w:color w:val="00000A"/>
          <w:spacing w:val="-6"/>
          <w:kern w:val="2"/>
          <w:sz w:val="24"/>
          <w:szCs w:val="24"/>
          <w:shd w:fill="auto" w:val="clear"/>
          <w:lang w:val="uk-UA" w:eastAsia="ar-SA" w:bidi="ar-SA"/>
        </w:rPr>
        <w:t>про бухгалтерський облік та фінансову звітність”</w:t>
      </w:r>
      <w:r>
        <w:rPr>
          <w:rFonts w:cs="Times New Roman" w:ascii="Times New Roman" w:hAnsi="Times New Roman"/>
          <w:spacing w:val="-6"/>
          <w:sz w:val="24"/>
          <w:szCs w:val="24"/>
          <w:lang w:val="uk-UA"/>
        </w:rPr>
        <w:t>) щодо складання фінансової звітності.</w:t>
      </w:r>
    </w:p>
    <w:p>
      <w:pPr>
        <w:pStyle w:val="Normal"/>
        <w:spacing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Основа для думки</w:t>
      </w:r>
    </w:p>
    <w:p>
      <w:pPr>
        <w:pStyle w:val="Normal"/>
        <w:spacing w:lineRule="auto" w:line="276" w:before="57" w:after="57"/>
        <w:ind w:left="57" w:right="0" w:firstLine="567"/>
        <w:jc w:val="both"/>
        <w:rPr>
          <w:rFonts w:ascii="Times New Roman" w:hAnsi="Times New Roman" w:cs="Times New Roman"/>
          <w:sz w:val="24"/>
          <w:szCs w:val="24"/>
          <w:lang w:val="uk-UA"/>
        </w:rPr>
      </w:pPr>
      <w:r>
        <w:rPr>
          <w:rFonts w:cs="Times New Roman" w:ascii="Times New Roman" w:hAnsi="Times New Roman"/>
          <w:sz w:val="24"/>
          <w:szCs w:val="24"/>
          <w:lang w:val="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pPr>
        <w:pStyle w:val="Normal"/>
        <w:spacing w:before="57" w:after="57"/>
        <w:ind w:left="57" w:right="0" w:firstLine="567"/>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rmal"/>
        <w:spacing w:before="57" w:after="57"/>
        <w:ind w:left="57" w:right="0" w:firstLine="567"/>
        <w:jc w:val="both"/>
        <w:rPr>
          <w:rFonts w:ascii="Times New Roman" w:hAnsi="Times New Roman" w:eastAsia="SimSun" w:cs="Times New Roman"/>
          <w:b/>
          <w:b/>
          <w:bCs/>
          <w:color w:val="auto"/>
          <w:kern w:val="2"/>
          <w:sz w:val="24"/>
          <w:szCs w:val="24"/>
          <w:lang w:val="uk-UA" w:eastAsia="zh-CN" w:bidi="hi-IN"/>
        </w:rPr>
      </w:pPr>
      <w:r>
        <w:rPr>
          <w:rFonts w:eastAsia="SimSun" w:cs="Times New Roman" w:ascii="Times New Roman" w:hAnsi="Times New Roman"/>
          <w:b/>
          <w:bCs/>
          <w:color w:val="auto"/>
          <w:kern w:val="2"/>
          <w:sz w:val="24"/>
          <w:szCs w:val="24"/>
          <w:lang w:val="uk-UA" w:eastAsia="zh-CN" w:bidi="hi-IN"/>
        </w:rPr>
        <w:t>Пояснювальний параграф</w:t>
      </w:r>
    </w:p>
    <w:p>
      <w:pPr>
        <w:pStyle w:val="Normal"/>
        <w:spacing w:before="57" w:after="57"/>
        <w:ind w:left="57" w:right="0" w:firstLine="567"/>
        <w:jc w:val="both"/>
        <w:rPr/>
      </w:pPr>
      <w:r>
        <w:rPr>
          <w:rFonts w:eastAsia="SimSun" w:cs="Times New Roman" w:ascii="Times New Roman" w:hAnsi="Times New Roman"/>
          <w:b w:val="false"/>
          <w:bCs w:val="false"/>
          <w:color w:val="auto"/>
          <w:kern w:val="2"/>
          <w:sz w:val="24"/>
          <w:szCs w:val="24"/>
          <w:lang w:val="uk-UA" w:eastAsia="zh-CN" w:bidi="hi-IN"/>
        </w:rPr>
        <w:t xml:space="preserve">Ми звертаємо увагу на розділ 9 “Події після дати балансу” Додатку до Приміток до річної фінансової звітності за 2021 рік, що описує вплив російської військової агресії на діяльність Компанії. Нашу думку не було модифіковано щодо цього питання. </w:t>
      </w:r>
    </w:p>
    <w:p>
      <w:pPr>
        <w:pStyle w:val="Normal"/>
        <w:spacing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Ключові питання аудиту</w:t>
      </w:r>
    </w:p>
    <w:p>
      <w:pPr>
        <w:pStyle w:val="Normal"/>
        <w:spacing w:lineRule="auto" w:line="276" w:before="57" w:after="57"/>
        <w:ind w:left="57" w:right="0" w:firstLine="567"/>
        <w:jc w:val="both"/>
        <w:rPr/>
      </w:pPr>
      <w:r>
        <w:rPr>
          <w:rFonts w:cs="Times New Roman" w:ascii="Times New Roman" w:hAnsi="Times New Roman"/>
          <w:b w:val="false"/>
          <w:bCs w:val="false"/>
          <w:sz w:val="24"/>
          <w:szCs w:val="24"/>
          <w:lang w:val="uk-UA"/>
        </w:rPr>
        <w:t xml:space="preserve">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питання  розглядалися у контексті нашого аудиту фінансової звітності в цілому та враховувалися при формуванні думки щодо неї, при цьому ми не висловлюємо окремої думки щодо цих питань. </w:t>
      </w:r>
      <w:r>
        <w:rPr>
          <w:rFonts w:eastAsia="SimSun" w:cs="Times New Roman" w:ascii="Times New Roman" w:hAnsi="Times New Roman"/>
          <w:b w:val="false"/>
          <w:bCs w:val="false"/>
          <w:color w:val="auto"/>
          <w:kern w:val="2"/>
          <w:sz w:val="24"/>
          <w:szCs w:val="24"/>
          <w:lang w:val="uk-UA" w:eastAsia="zh-CN" w:bidi="hi-IN"/>
        </w:rPr>
        <w:t xml:space="preserve">Ми визначили, що нижче описане питання є ключовим питанням аудиту, яке слід відобразити в нашому звіті. </w:t>
      </w:r>
    </w:p>
    <w:p>
      <w:pPr>
        <w:pStyle w:val="Style27"/>
        <w:spacing w:lineRule="auto" w:line="276" w:before="57" w:after="57"/>
        <w:jc w:val="both"/>
        <w:rPr/>
      </w:pPr>
      <w:r>
        <w:rPr>
          <w:rFonts w:eastAsia="SimSun" w:cs="Times New Roman" w:ascii="Times New Roman" w:hAnsi="Times New Roman"/>
          <w:b w:val="false"/>
          <w:bCs w:val="false"/>
          <w:color w:val="auto"/>
          <w:kern w:val="2"/>
          <w:sz w:val="24"/>
          <w:szCs w:val="24"/>
          <w:lang w:val="uk-UA" w:eastAsia="zh-CN" w:bidi="hi-IN"/>
        </w:rPr>
        <w:tab/>
        <w:t xml:space="preserve">Чистий дохід від реалізації продукції (товарів, робіт, послуг) у 2021 році склав 1588834 тис.грн. (р.2000 Звіту про фінансові результати (Звіт про сукупний дохід) за 2021 рік) та є суттєвою статтею фінансової звітності. Ми зосередили свою увагу на цій області в якості ключового питання у зв’язку з суттєвістю суми доходу від реалізації та великою кількістю операцій. Відповідно, це питання потребувало значних зусиль та вимагало від нас значної уваги під час виконання аудиту. </w:t>
      </w:r>
    </w:p>
    <w:p>
      <w:pPr>
        <w:pStyle w:val="Style27"/>
        <w:spacing w:lineRule="auto" w:line="276" w:before="57" w:after="57"/>
        <w:jc w:val="both"/>
        <w:rPr/>
      </w:pPr>
      <w:r>
        <w:rPr>
          <w:rFonts w:eastAsia="SimSun" w:cs="Times New Roman" w:ascii="Times New Roman" w:hAnsi="Times New Roman"/>
          <w:b w:val="false"/>
          <w:bCs w:val="false"/>
          <w:color w:val="auto"/>
          <w:kern w:val="2"/>
          <w:sz w:val="24"/>
          <w:szCs w:val="24"/>
          <w:lang w:val="uk-UA" w:eastAsia="zh-CN" w:bidi="hi-IN"/>
        </w:rPr>
        <w:tab/>
      </w:r>
      <w:r>
        <w:rPr>
          <w:rFonts w:eastAsia="SimSun" w:cs="Times New Roman" w:ascii="Times New Roman" w:hAnsi="Times New Roman"/>
          <w:b w:val="false"/>
          <w:bCs w:val="false"/>
          <w:color w:val="000000"/>
          <w:kern w:val="2"/>
          <w:sz w:val="24"/>
          <w:szCs w:val="24"/>
          <w:lang w:val="uk-UA" w:eastAsia="zh-CN" w:bidi="hi-IN"/>
        </w:rPr>
        <w:t>Наші аудиторські процедури серед іншого включали:</w:t>
      </w:r>
    </w:p>
    <w:p>
      <w:pPr>
        <w:pStyle w:val="Style27"/>
        <w:spacing w:lineRule="auto" w:line="240" w:before="57" w:after="57"/>
        <w:jc w:val="both"/>
        <w:rPr>
          <w:rFonts w:ascii="Times New Roman" w:hAnsi="Times New Roman" w:eastAsia="SimSun" w:cs="Times New Roman"/>
          <w:b w:val="false"/>
          <w:b w:val="false"/>
          <w:bCs w:val="false"/>
          <w:color w:val="000000"/>
          <w:kern w:val="2"/>
          <w:sz w:val="24"/>
          <w:szCs w:val="24"/>
          <w:lang w:val="uk-UA" w:eastAsia="zh-CN" w:bidi="hi-IN"/>
        </w:rPr>
      </w:pPr>
      <w:r>
        <w:rPr>
          <w:rFonts w:eastAsia="SimSun" w:cs="Times New Roman" w:ascii="Times New Roman" w:hAnsi="Times New Roman"/>
          <w:b w:val="false"/>
          <w:bCs w:val="false"/>
          <w:color w:val="000000"/>
          <w:kern w:val="2"/>
          <w:sz w:val="24"/>
          <w:szCs w:val="24"/>
          <w:lang w:val="uk-UA" w:eastAsia="zh-CN" w:bidi="hi-IN"/>
        </w:rPr>
        <w:tab/>
        <w:t>- отримання розуміння і оцінки ефективності внутрішнього контролю в області визнання доходу, тестування ефективності заходів контролю над визнанням доходу;</w:t>
      </w:r>
    </w:p>
    <w:p>
      <w:pPr>
        <w:pStyle w:val="Style27"/>
        <w:spacing w:lineRule="auto" w:line="240" w:before="57" w:after="57"/>
        <w:jc w:val="both"/>
        <w:rPr/>
      </w:pPr>
      <w:r>
        <w:rPr>
          <w:rFonts w:eastAsia="SimSun" w:cs="Times New Roman" w:ascii="Times New Roman" w:hAnsi="Times New Roman"/>
          <w:b w:val="false"/>
          <w:bCs w:val="false"/>
          <w:color w:val="000000"/>
          <w:kern w:val="2"/>
          <w:sz w:val="24"/>
          <w:szCs w:val="24"/>
          <w:lang w:val="uk-UA" w:eastAsia="zh-CN" w:bidi="hi-IN"/>
        </w:rPr>
        <w:tab/>
        <w:t>- отримання зовнішніх пі</w:t>
      </w:r>
      <w:r>
        <w:rPr>
          <w:rFonts w:eastAsia="SimSun" w:cs="Times New Roman" w:ascii="Times New Roman" w:hAnsi="Times New Roman"/>
          <w:b w:val="false"/>
          <w:bCs w:val="false"/>
          <w:color w:val="auto"/>
          <w:kern w:val="2"/>
          <w:sz w:val="24"/>
          <w:szCs w:val="24"/>
          <w:lang w:val="uk-UA" w:eastAsia="zh-CN" w:bidi="hi-IN"/>
        </w:rPr>
        <w:t>дтверджень від покупців для перевірки повноти відображення обсягів реалізації;</w:t>
      </w:r>
    </w:p>
    <w:p>
      <w:pPr>
        <w:pStyle w:val="Style27"/>
        <w:spacing w:lineRule="auto" w:line="240" w:before="57" w:after="57"/>
        <w:ind w:left="57" w:right="0" w:firstLine="567"/>
        <w:jc w:val="both"/>
        <w:rPr>
          <w:rFonts w:ascii="Times New Roman" w:hAnsi="Times New Roman" w:eastAsia="SimSun" w:cs="Times New Roman"/>
          <w:b w:val="false"/>
          <w:b w:val="false"/>
          <w:bCs w:val="false"/>
          <w:color w:val="auto"/>
          <w:kern w:val="2"/>
          <w:sz w:val="24"/>
          <w:szCs w:val="24"/>
          <w:lang w:val="uk-UA" w:eastAsia="zh-CN" w:bidi="hi-IN"/>
        </w:rPr>
      </w:pPr>
      <w:r>
        <w:rPr>
          <w:rFonts w:eastAsia="SimSun" w:cs="Times New Roman" w:ascii="Times New Roman" w:hAnsi="Times New Roman"/>
          <w:b w:val="false"/>
          <w:bCs w:val="false"/>
          <w:color w:val="auto"/>
          <w:kern w:val="2"/>
          <w:sz w:val="24"/>
          <w:szCs w:val="24"/>
          <w:lang w:val="uk-UA" w:eastAsia="zh-CN" w:bidi="hi-IN"/>
        </w:rPr>
        <w:t>- аналіз умов контрактів на продаж, зокрема, щодо моменту переходу контролю;</w:t>
      </w:r>
    </w:p>
    <w:p>
      <w:pPr>
        <w:pStyle w:val="Style27"/>
        <w:spacing w:lineRule="auto" w:line="240" w:before="57" w:after="57"/>
        <w:ind w:left="57" w:right="0" w:firstLine="567"/>
        <w:jc w:val="both"/>
        <w:rPr>
          <w:rFonts w:ascii="Times New Roman" w:hAnsi="Times New Roman" w:eastAsia="SimSun" w:cs="Times New Roman"/>
          <w:b w:val="false"/>
          <w:b w:val="false"/>
          <w:bCs w:val="false"/>
          <w:color w:val="auto"/>
          <w:kern w:val="2"/>
          <w:sz w:val="24"/>
          <w:szCs w:val="24"/>
          <w:lang w:val="uk-UA" w:eastAsia="zh-CN" w:bidi="hi-IN"/>
        </w:rPr>
      </w:pPr>
      <w:r>
        <w:rPr>
          <w:rFonts w:eastAsia="SimSun" w:cs="Times New Roman" w:ascii="Times New Roman" w:hAnsi="Times New Roman"/>
          <w:b w:val="false"/>
          <w:bCs w:val="false"/>
          <w:color w:val="auto"/>
          <w:kern w:val="2"/>
          <w:sz w:val="24"/>
          <w:szCs w:val="24"/>
          <w:lang w:val="uk-UA" w:eastAsia="zh-CN" w:bidi="hi-IN"/>
        </w:rPr>
        <w:t>- вибіркову перевірку первинних документів з реалізації готової продукції (товарів, робіт, послуг) за 2021 рік та за січень 2022 року на предмет виявлення сум, що належать до операцій 2021 року.</w:t>
      </w:r>
    </w:p>
    <w:p>
      <w:pPr>
        <w:pStyle w:val="Style27"/>
        <w:spacing w:lineRule="auto" w:line="276" w:before="57" w:after="57"/>
        <w:ind w:left="57" w:right="0" w:firstLine="567"/>
        <w:jc w:val="both"/>
        <w:rPr/>
      </w:pPr>
      <w:r>
        <w:rPr>
          <w:rFonts w:eastAsia="SimSun" w:cs="Times New Roman" w:ascii="Times New Roman" w:hAnsi="Times New Roman"/>
          <w:b w:val="false"/>
          <w:bCs w:val="false"/>
          <w:color w:val="auto"/>
          <w:kern w:val="2"/>
          <w:sz w:val="24"/>
          <w:szCs w:val="24"/>
          <w:lang w:val="uk-UA" w:eastAsia="zh-CN" w:bidi="hi-IN"/>
        </w:rPr>
        <w:t xml:space="preserve">Наше тестування не виявило суттєвої невідповідності в даних Компанії щодо доходу від реалізації готової продукції (товарів, робіт, послуг). </w:t>
      </w:r>
    </w:p>
    <w:p>
      <w:pPr>
        <w:pStyle w:val="Normal"/>
        <w:spacing w:before="57" w:after="57"/>
        <w:ind w:left="57" w:right="0" w:firstLine="567"/>
        <w:jc w:val="both"/>
        <w:rPr>
          <w:rFonts w:ascii="Times New Roman" w:hAnsi="Times New Roman" w:eastAsia="SimSun" w:cs="Times New Roman"/>
          <w:b w:val="false"/>
          <w:b w:val="false"/>
          <w:bCs w:val="false"/>
          <w:color w:val="auto"/>
          <w:kern w:val="2"/>
          <w:sz w:val="16"/>
          <w:szCs w:val="16"/>
          <w:lang w:val="uk-UA" w:eastAsia="zh-CN" w:bidi="hi-IN"/>
        </w:rPr>
      </w:pPr>
      <w:r>
        <w:rPr>
          <w:rFonts w:eastAsia="SimSun" w:cs="Times New Roman" w:ascii="Times New Roman" w:hAnsi="Times New Roman"/>
          <w:b w:val="false"/>
          <w:bCs w:val="false"/>
          <w:color w:val="auto"/>
          <w:kern w:val="2"/>
          <w:sz w:val="16"/>
          <w:szCs w:val="16"/>
          <w:lang w:val="uk-UA" w:eastAsia="zh-CN" w:bidi="hi-IN"/>
        </w:rPr>
      </w:r>
    </w:p>
    <w:p>
      <w:pPr>
        <w:pStyle w:val="Normal"/>
        <w:spacing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Інша інформація</w:t>
      </w:r>
    </w:p>
    <w:p>
      <w:pPr>
        <w:pStyle w:val="Normal"/>
        <w:spacing w:lineRule="auto" w:line="276" w:before="57" w:after="57"/>
        <w:ind w:left="0" w:right="0" w:firstLine="567"/>
        <w:jc w:val="both"/>
        <w:rPr>
          <w:rFonts w:ascii="Times New Roman" w:hAnsi="Times New Roman" w:eastAsia="Tahoma" w:cs="Times New Roman"/>
          <w:color w:val="00000A"/>
          <w:kern w:val="2"/>
          <w:sz w:val="24"/>
          <w:szCs w:val="24"/>
          <w:lang w:val="uk-UA" w:eastAsia="ar-SA" w:bidi="ar-SA"/>
        </w:rPr>
      </w:pPr>
      <w:r>
        <w:rPr>
          <w:rFonts w:eastAsia="Tahoma" w:cs="Times New Roman" w:ascii="Times New Roman" w:hAnsi="Times New Roman"/>
          <w:color w:val="00000A"/>
          <w:kern w:val="2"/>
          <w:sz w:val="24"/>
          <w:szCs w:val="24"/>
          <w:lang w:val="uk-UA" w:eastAsia="ar-SA" w:bidi="ar-SA"/>
        </w:rPr>
        <w:t>Управлінський персонал несе відповідальність за іншу звітну інформацію. Інша інформація включає:</w:t>
      </w:r>
    </w:p>
    <w:p>
      <w:pPr>
        <w:pStyle w:val="Normal"/>
        <w:spacing w:lineRule="auto" w:line="276" w:before="57" w:after="57"/>
        <w:ind w:left="0" w:right="0" w:firstLine="567"/>
        <w:jc w:val="both"/>
        <w:rPr>
          <w:rFonts w:ascii="Times New Roman" w:hAnsi="Times New Roman" w:eastAsia="Tahoma" w:cs="Times New Roman"/>
          <w:color w:val="00000A"/>
          <w:kern w:val="2"/>
          <w:sz w:val="24"/>
          <w:szCs w:val="24"/>
          <w:lang w:val="uk-UA" w:eastAsia="ar-SA" w:bidi="ar-SA"/>
        </w:rPr>
      </w:pPr>
      <w:r>
        <w:rPr>
          <w:rFonts w:eastAsia="Tahoma" w:cs="Times New Roman" w:ascii="Times New Roman" w:hAnsi="Times New Roman"/>
          <w:color w:val="00000A"/>
          <w:kern w:val="2"/>
          <w:sz w:val="24"/>
          <w:szCs w:val="24"/>
          <w:lang w:val="uk-UA" w:eastAsia="ar-SA" w:bidi="ar-SA"/>
        </w:rPr>
        <w:t xml:space="preserve">- Звіт про управління за 2021 рік, що складається та подається відповідно до вимог  Закону про бухгалтерський облік та фінансову звітність. </w:t>
      </w:r>
    </w:p>
    <w:p>
      <w:pPr>
        <w:pStyle w:val="Normal"/>
        <w:spacing w:lineRule="auto" w:line="276" w:before="57" w:after="57"/>
        <w:ind w:left="0" w:right="0" w:firstLine="567"/>
        <w:jc w:val="both"/>
        <w:rPr>
          <w:rFonts w:ascii="Times New Roman" w:hAnsi="Times New Roman" w:eastAsia="Tahoma" w:cs="Times New Roman"/>
          <w:color w:val="00000A"/>
          <w:spacing w:val="-4"/>
          <w:kern w:val="2"/>
          <w:sz w:val="24"/>
          <w:szCs w:val="24"/>
          <w:lang w:val="uk-UA" w:eastAsia="ar-SA" w:bidi="ar-SA"/>
        </w:rPr>
      </w:pPr>
      <w:r>
        <w:rPr>
          <w:rFonts w:eastAsia="Tahoma" w:cs="Times New Roman" w:ascii="Times New Roman" w:hAnsi="Times New Roman"/>
          <w:color w:val="00000A"/>
          <w:spacing w:val="-4"/>
          <w:kern w:val="2"/>
          <w:sz w:val="24"/>
          <w:szCs w:val="24"/>
          <w:lang w:val="uk-UA" w:eastAsia="ar-SA" w:bidi="ar-SA"/>
        </w:rPr>
        <w:t>Наша думка аудитора щодо фінансової звітності Компанії не поширюється на іншу інформацію та ми не робимо висновку з будь-яким рівнем впевненості щодо цієї іншої інформації.</w:t>
      </w:r>
    </w:p>
    <w:p>
      <w:pPr>
        <w:pStyle w:val="Normal"/>
        <w:spacing w:lineRule="auto" w:line="276" w:before="57" w:after="57"/>
        <w:ind w:left="0" w:right="0" w:firstLine="567"/>
        <w:jc w:val="both"/>
        <w:rPr/>
      </w:pPr>
      <w:r>
        <w:rPr>
          <w:rFonts w:cs="Times New Roman" w:ascii="Times New Roman" w:hAnsi="Times New Roman"/>
          <w:sz w:val="24"/>
          <w:szCs w:val="24"/>
          <w:lang w:val="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w:t>
      </w:r>
      <w:r>
        <w:rPr>
          <w:rFonts w:eastAsia="SimSun" w:cs="Times New Roman" w:ascii="Times New Roman" w:hAnsi="Times New Roman"/>
          <w:color w:val="auto"/>
          <w:kern w:val="2"/>
          <w:sz w:val="24"/>
          <w:szCs w:val="24"/>
          <w:lang w:val="uk-UA" w:eastAsia="zh-CN" w:bidi="hi-IN"/>
        </w:rPr>
        <w:t xml:space="preserve">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pPr>
        <w:pStyle w:val="Normal"/>
        <w:spacing w:lineRule="auto" w:line="276" w:before="57" w:after="57"/>
        <w:ind w:left="0" w:right="0" w:firstLine="567"/>
        <w:jc w:val="both"/>
        <w:rPr>
          <w:rFonts w:ascii="Times New Roman" w:hAnsi="Times New Roman" w:eastAsia="SimSun" w:cs="Times New Roman"/>
          <w:color w:val="auto"/>
          <w:kern w:val="2"/>
          <w:sz w:val="24"/>
          <w:szCs w:val="24"/>
          <w:lang w:val="uk-UA" w:eastAsia="zh-CN" w:bidi="hi-IN"/>
        </w:rPr>
      </w:pPr>
      <w:r>
        <w:rPr>
          <w:rFonts w:eastAsia="SimSun" w:cs="Times New Roman" w:ascii="Times New Roman" w:hAnsi="Times New Roman"/>
          <w:color w:val="auto"/>
          <w:kern w:val="2"/>
          <w:sz w:val="24"/>
          <w:szCs w:val="24"/>
          <w:lang w:val="uk-UA" w:eastAsia="zh-CN" w:bidi="hi-IN"/>
        </w:rPr>
        <w:t xml:space="preserve">У Звіті про управління за 2021 рік ми не виявили суттєву невідповідність між іншою інформацією і фінансовою звітністю або нашими знаннями, отриманими під час аудиту, або того, чи ця інша інформація виглядає такою, що містить суттєве викривлення, та ми не виявили таких фактів, які потрібно було б включити до нашого звіту незалежного аудитора. </w:t>
      </w:r>
    </w:p>
    <w:p>
      <w:pPr>
        <w:pStyle w:val="Normal"/>
        <w:spacing w:before="57" w:after="57"/>
        <w:ind w:left="57" w:right="0" w:firstLine="567"/>
        <w:jc w:val="both"/>
        <w:rPr>
          <w:rFonts w:ascii="Times New Roman" w:hAnsi="Times New Roman" w:eastAsia="SimSun" w:cs="Times New Roman"/>
          <w:color w:val="auto"/>
          <w:kern w:val="2"/>
          <w:sz w:val="24"/>
          <w:szCs w:val="24"/>
          <w:lang w:val="uk-UA" w:eastAsia="zh-CN" w:bidi="hi-IN"/>
        </w:rPr>
      </w:pPr>
      <w:r>
        <w:rPr>
          <w:rFonts w:eastAsia="SimSun" w:cs="Times New Roman" w:ascii="Times New Roman" w:hAnsi="Times New Roman"/>
          <w:color w:val="auto"/>
          <w:kern w:val="2"/>
          <w:sz w:val="24"/>
          <w:szCs w:val="24"/>
          <w:lang w:val="uk-UA" w:eastAsia="zh-CN" w:bidi="hi-IN"/>
        </w:rPr>
      </w:r>
    </w:p>
    <w:p>
      <w:pPr>
        <w:pStyle w:val="Normal"/>
        <w:spacing w:lineRule="auto" w:line="276"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 xml:space="preserve">Відповідальність управлінського персоналу та тих, кого наділено найвищими повноваженнями, за фінансову звітність </w:t>
      </w:r>
    </w:p>
    <w:p>
      <w:pPr>
        <w:pStyle w:val="Normal"/>
        <w:spacing w:lineRule="auto" w:line="276" w:before="57" w:after="57"/>
        <w:ind w:left="-227" w:right="0" w:firstLine="567"/>
        <w:jc w:val="both"/>
        <w:rPr>
          <w:rFonts w:ascii="Times New Roman" w:hAnsi="Times New Roman" w:cs="Times New Roman"/>
          <w:sz w:val="24"/>
          <w:szCs w:val="24"/>
          <w:lang w:val="uk-UA"/>
        </w:rPr>
      </w:pPr>
      <w:r>
        <w:rPr>
          <w:rFonts w:cs="Times New Roman" w:ascii="Times New Roman" w:hAnsi="Times New Roman"/>
          <w:sz w:val="24"/>
          <w:szCs w:val="24"/>
          <w:lang w:val="uk-UA"/>
        </w:rPr>
        <w:t>Управлінський персонал несе відповідальність за складання і достовірне подання фінансової звітності відповідно до НПсБО та Закону про бухгалтерський облік та фінансову звітність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pPr>
        <w:pStyle w:val="Normal"/>
        <w:spacing w:lineRule="auto" w:line="276" w:before="57" w:after="57"/>
        <w:ind w:left="-227" w:right="0" w:firstLine="567"/>
        <w:jc w:val="both"/>
        <w:rPr>
          <w:rFonts w:ascii="Times New Roman" w:hAnsi="Times New Roman" w:cs="Times New Roman"/>
          <w:sz w:val="24"/>
          <w:szCs w:val="24"/>
          <w:lang w:val="uk-UA"/>
        </w:rPr>
      </w:pPr>
      <w:r>
        <w:rPr>
          <w:rFonts w:cs="Times New Roman" w:ascii="Times New Roman" w:hAnsi="Times New Roman"/>
          <w:sz w:val="24"/>
          <w:szCs w:val="24"/>
          <w:lang w:val="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pPr>
        <w:pStyle w:val="Normal"/>
        <w:spacing w:lineRule="auto" w:line="276" w:before="57" w:after="57"/>
        <w:ind w:left="-227" w:right="0" w:firstLine="567"/>
        <w:jc w:val="both"/>
        <w:rPr/>
      </w:pPr>
      <w:r>
        <w:rPr>
          <w:rFonts w:eastAsia="SimSun" w:cs="Times New Roman" w:ascii="Times New Roman" w:hAnsi="Times New Roman"/>
          <w:color w:val="auto"/>
          <w:spacing w:val="-4"/>
          <w:kern w:val="2"/>
          <w:sz w:val="24"/>
          <w:szCs w:val="24"/>
          <w:lang w:val="uk-UA" w:eastAsia="zh-CN" w:bidi="hi-IN"/>
        </w:rPr>
        <w:t>Загальні збори</w:t>
      </w:r>
      <w:r>
        <w:rPr>
          <w:rFonts w:cs="Times New Roman" w:ascii="Times New Roman" w:hAnsi="Times New Roman"/>
          <w:spacing w:val="-4"/>
          <w:sz w:val="24"/>
          <w:szCs w:val="24"/>
          <w:lang w:val="uk-UA"/>
        </w:rPr>
        <w:t xml:space="preserve"> несуть відповідальність за нагляд за процесом фінансового звітування Компанії </w:t>
      </w:r>
    </w:p>
    <w:p>
      <w:pPr>
        <w:pStyle w:val="Normal"/>
        <w:spacing w:before="57" w:after="57"/>
        <w:ind w:left="57" w:right="0" w:firstLine="567"/>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rmal"/>
        <w:spacing w:before="57" w:after="57"/>
        <w:ind w:left="57" w:right="0" w:firstLine="567"/>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Відповідальність аудитора за аудит фінансової звітності</w:t>
      </w:r>
    </w:p>
    <w:p>
      <w:pPr>
        <w:pStyle w:val="Normal"/>
        <w:spacing w:lineRule="auto" w:line="276" w:before="57" w:after="57"/>
        <w:ind w:left="57" w:right="0"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pPr>
        <w:pStyle w:val="Normal"/>
        <w:spacing w:lineRule="auto" w:line="276" w:before="57" w:after="57"/>
        <w:ind w:left="57" w:right="0" w:firstLine="567"/>
        <w:jc w:val="both"/>
        <w:rPr>
          <w:rFonts w:ascii="Times New Roman" w:hAnsi="Times New Roman" w:cs="Times New Roman"/>
          <w:sz w:val="24"/>
          <w:szCs w:val="24"/>
          <w:lang w:val="uk-UA"/>
        </w:rPr>
      </w:pPr>
      <w:r>
        <w:rPr>
          <w:rFonts w:cs="Times New Roman" w:ascii="Times New Roman" w:hAnsi="Times New Roman"/>
          <w:sz w:val="24"/>
          <w:szCs w:val="24"/>
          <w:lang w:val="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pPr>
        <w:pStyle w:val="Normal"/>
        <w:spacing w:lineRule="auto" w:line="276" w:before="57" w:after="57"/>
        <w:ind w:left="57" w:right="0" w:firstLine="567"/>
        <w:jc w:val="both"/>
        <w:rPr/>
      </w:pPr>
      <w:r>
        <w:rPr>
          <w:rFonts w:cs="Times New Roman" w:ascii="Times New Roman" w:hAnsi="Times New Roman"/>
          <w:sz w:val="24"/>
          <w:szCs w:val="24"/>
          <w:lang w:val="uk-UA"/>
        </w:rPr>
        <w:t>•</w:t>
      </w:r>
      <w:r>
        <w:rPr>
          <w:rFonts w:eastAsia="Times New Roman" w:cs="Times New Roman" w:ascii="Times New Roman" w:hAnsi="Times New Roman"/>
          <w:sz w:val="24"/>
          <w:szCs w:val="24"/>
          <w:lang w:val="uk-UA"/>
        </w:rPr>
        <w:t xml:space="preserve">  </w:t>
      </w:r>
      <w:r>
        <w:rPr>
          <w:rFonts w:cs="Times New Roman" w:ascii="Times New Roman" w:hAnsi="Times New Roman"/>
          <w:sz w:val="24"/>
          <w:szCs w:val="24"/>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pPr>
        <w:pStyle w:val="Normal"/>
        <w:spacing w:lineRule="auto" w:line="276" w:before="57" w:after="57"/>
        <w:ind w:left="57" w:right="0" w:firstLine="567"/>
        <w:jc w:val="both"/>
        <w:rPr/>
      </w:pPr>
      <w:r>
        <w:rPr>
          <w:rFonts w:cs="Times New Roman" w:ascii="Times New Roman" w:hAnsi="Times New Roman"/>
          <w:sz w:val="24"/>
          <w:szCs w:val="24"/>
          <w:lang w:val="uk-UA"/>
        </w:rPr>
        <w:t>•</w:t>
      </w:r>
      <w:r>
        <w:rPr>
          <w:rFonts w:eastAsia="Times New Roman" w:cs="Times New Roman" w:ascii="Times New Roman" w:hAnsi="Times New Roman"/>
          <w:sz w:val="24"/>
          <w:szCs w:val="24"/>
          <w:lang w:val="uk-UA"/>
        </w:rPr>
        <w:t xml:space="preserve"> </w:t>
      </w:r>
      <w:r>
        <w:rPr>
          <w:rFonts w:cs="Times New Roman" w:ascii="Times New Roman" w:hAnsi="Times New Roman"/>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pPr>
        <w:pStyle w:val="Normal"/>
        <w:spacing w:lineRule="auto" w:line="276" w:before="57" w:after="57"/>
        <w:ind w:left="57" w:right="0" w:firstLine="567"/>
        <w:jc w:val="both"/>
        <w:rPr/>
      </w:pPr>
      <w:r>
        <w:rPr>
          <w:rFonts w:cs="Times New Roman" w:ascii="Times New Roman" w:hAnsi="Times New Roman"/>
          <w:sz w:val="24"/>
          <w:szCs w:val="24"/>
          <w:lang w:val="uk-UA"/>
        </w:rPr>
        <w:t>•</w:t>
      </w:r>
      <w:r>
        <w:rPr>
          <w:rFonts w:eastAsia="Times New Roman" w:cs="Times New Roman" w:ascii="Times New Roman" w:hAnsi="Times New Roman"/>
          <w:sz w:val="24"/>
          <w:szCs w:val="24"/>
          <w:lang w:val="uk-UA"/>
        </w:rPr>
        <w:t xml:space="preserve"> </w:t>
      </w:r>
      <w:r>
        <w:rPr>
          <w:rFonts w:cs="Times New Roman" w:ascii="Times New Roman" w:hAnsi="Times New Roman"/>
          <w:sz w:val="24"/>
          <w:szCs w:val="24"/>
          <w:lang w:val="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pPr>
        <w:pStyle w:val="Normal"/>
        <w:spacing w:lineRule="auto" w:line="276" w:before="57" w:after="57"/>
        <w:ind w:left="57" w:right="0" w:firstLine="567"/>
        <w:jc w:val="both"/>
        <w:rPr/>
      </w:pPr>
      <w:r>
        <w:rPr>
          <w:rFonts w:cs="Times New Roman" w:ascii="Times New Roman" w:hAnsi="Times New Roman"/>
          <w:sz w:val="24"/>
          <w:szCs w:val="24"/>
          <w:lang w:val="uk-UA"/>
        </w:rPr>
        <w:t>•</w:t>
      </w:r>
      <w:r>
        <w:rPr>
          <w:rFonts w:eastAsia="Times New Roman" w:cs="Times New Roman" w:ascii="Times New Roman" w:hAnsi="Times New Roman"/>
          <w:sz w:val="24"/>
          <w:szCs w:val="24"/>
          <w:lang w:val="uk-UA"/>
        </w:rPr>
        <w:t xml:space="preserve"> </w:t>
      </w:r>
      <w:r>
        <w:rPr>
          <w:rFonts w:cs="Times New Roman" w:ascii="Times New Roman" w:hAnsi="Times New Roman"/>
          <w:sz w:val="24"/>
          <w:szCs w:val="24"/>
          <w:lang w:val="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що може поставити під значний сумнів здатність Компанії продовжувати свою діяльність на безперервній основі. Якщо ми доходимо висновку щодо існування такої суттєвої невизначеності, ми повинні привернути увагу в нашому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pPr>
        <w:pStyle w:val="Normal"/>
        <w:spacing w:lineRule="auto" w:line="276" w:before="57" w:after="57"/>
        <w:ind w:left="57" w:right="0" w:firstLine="567"/>
        <w:jc w:val="both"/>
        <w:rPr/>
      </w:pPr>
      <w:r>
        <w:rPr>
          <w:rFonts w:cs="Times New Roman" w:ascii="Times New Roman" w:hAnsi="Times New Roman"/>
          <w:sz w:val="24"/>
          <w:szCs w:val="24"/>
          <w:lang w:val="uk-UA"/>
        </w:rPr>
        <w:t>•</w:t>
      </w:r>
      <w:r>
        <w:rPr>
          <w:rFonts w:eastAsia="Times New Roman" w:cs="Times New Roman" w:ascii="Times New Roman" w:hAnsi="Times New Roman"/>
          <w:sz w:val="24"/>
          <w:szCs w:val="24"/>
          <w:lang w:val="uk-UA"/>
        </w:rPr>
        <w:t xml:space="preserve"> </w:t>
      </w:r>
      <w:r>
        <w:rPr>
          <w:rFonts w:cs="Times New Roman" w:ascii="Times New Roman" w:hAnsi="Times New Roman"/>
          <w:sz w:val="24"/>
          <w:szCs w:val="24"/>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pPr>
        <w:pStyle w:val="Normal"/>
        <w:spacing w:lineRule="auto" w:line="276" w:before="57" w:after="57"/>
        <w:ind w:left="57" w:right="0" w:firstLine="567"/>
        <w:jc w:val="both"/>
        <w:rPr/>
      </w:pPr>
      <w:r>
        <w:rPr>
          <w:rFonts w:cs="Times New Roman" w:ascii="Times New Roman" w:hAnsi="Times New Roman"/>
          <w:sz w:val="24"/>
          <w:szCs w:val="24"/>
          <w:lang w:val="uk-UA"/>
        </w:rPr>
        <w:t xml:space="preserve">Ми повідомляємо </w:t>
      </w:r>
      <w:r>
        <w:rPr>
          <w:rFonts w:eastAsia="SimSun" w:cs="Times New Roman" w:ascii="Times New Roman" w:hAnsi="Times New Roman"/>
          <w:color w:val="auto"/>
          <w:kern w:val="2"/>
          <w:sz w:val="24"/>
          <w:szCs w:val="24"/>
          <w:lang w:val="uk-UA" w:eastAsia="zh-CN" w:bidi="hi-IN"/>
        </w:rPr>
        <w:t>Загальним зборам</w:t>
      </w:r>
      <w:r>
        <w:rPr>
          <w:rFonts w:cs="Times New Roman" w:ascii="Times New Roman" w:hAnsi="Times New Roman"/>
          <w:sz w:val="24"/>
          <w:szCs w:val="24"/>
          <w:lang w:val="uk-UA"/>
        </w:rPr>
        <w:t xml:space="preserve">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pPr>
        <w:pStyle w:val="Normal"/>
        <w:spacing w:lineRule="auto" w:line="276" w:before="57" w:after="57"/>
        <w:ind w:left="57" w:right="0" w:firstLine="567"/>
        <w:jc w:val="both"/>
        <w:rPr/>
      </w:pPr>
      <w:r>
        <w:rPr>
          <w:rFonts w:cs="Times New Roman" w:ascii="Times New Roman" w:hAnsi="Times New Roman"/>
          <w:sz w:val="24"/>
          <w:szCs w:val="24"/>
          <w:lang w:val="uk-UA"/>
        </w:rPr>
        <w:t xml:space="preserve">Ми також надаємо </w:t>
      </w:r>
      <w:r>
        <w:rPr>
          <w:rFonts w:eastAsia="SimSun" w:cs="Times New Roman" w:ascii="Times New Roman" w:hAnsi="Times New Roman"/>
          <w:color w:val="auto"/>
          <w:kern w:val="2"/>
          <w:sz w:val="24"/>
          <w:szCs w:val="24"/>
          <w:lang w:val="ru-RU" w:eastAsia="zh-CN" w:bidi="hi-IN"/>
        </w:rPr>
        <w:t>Загальним зборам</w:t>
      </w:r>
      <w:r>
        <w:rPr>
          <w:rFonts w:cs="Times New Roman" w:ascii="Times New Roman" w:hAnsi="Times New Roman"/>
          <w:sz w:val="24"/>
          <w:szCs w:val="24"/>
          <w:lang w:val="uk-UA"/>
        </w:rPr>
        <w:t xml:space="preserve">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pPr>
        <w:pStyle w:val="Normal"/>
        <w:spacing w:lineRule="auto" w:line="276" w:before="57" w:after="57"/>
        <w:ind w:left="57" w:right="0" w:firstLine="567"/>
        <w:jc w:val="both"/>
        <w:rPr/>
      </w:pPr>
      <w:r>
        <w:rPr>
          <w:rFonts w:cs="Times New Roman" w:ascii="Times New Roman" w:hAnsi="Times New Roman"/>
          <w:sz w:val="24"/>
          <w:szCs w:val="24"/>
          <w:lang w:val="uk-UA"/>
        </w:rPr>
        <w:t xml:space="preserve">З переліку всіх питань, інформація щодо яких надавалась </w:t>
      </w:r>
      <w:r>
        <w:rPr>
          <w:rFonts w:eastAsia="SimSun" w:cs="Times New Roman" w:ascii="Times New Roman" w:hAnsi="Times New Roman"/>
          <w:color w:val="auto"/>
          <w:kern w:val="2"/>
          <w:sz w:val="24"/>
          <w:szCs w:val="24"/>
          <w:lang w:val="ru-RU" w:eastAsia="zh-CN" w:bidi="hi-IN"/>
        </w:rPr>
        <w:t>Загальним зборам</w:t>
      </w:r>
      <w:r>
        <w:rPr>
          <w:rFonts w:cs="Times New Roman" w:ascii="Times New Roman" w:hAnsi="Times New Roman"/>
          <w:sz w:val="24"/>
          <w:szCs w:val="24"/>
          <w:lang w:val="uk-UA"/>
        </w:rPr>
        <w:t>, ми визначили ті, що були найбільш значущими під час аудиту фінансової звітності поточного періоду, тобто ті, які є ключовими питаннями аудиту. Ми описуємо ці питання в нашому звіті аудитора крім випадків, якщо законодавчим чи регуляторним актом заборонено публічне розкриття такого питання, або коли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pPr>
        <w:pStyle w:val="Normal"/>
        <w:spacing w:before="57" w:after="57"/>
        <w:ind w:left="57" w:right="0" w:firstLine="567"/>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rmal"/>
        <w:spacing w:before="57" w:after="57"/>
        <w:ind w:left="57" w:right="0" w:firstLine="567"/>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Звіт щодо вимог інших законодавчих і нормативних актів</w:t>
      </w:r>
    </w:p>
    <w:p>
      <w:pPr>
        <w:pStyle w:val="Normal"/>
        <w:spacing w:before="57" w:after="57"/>
        <w:ind w:left="57" w:right="0" w:firstLine="567"/>
        <w:jc w:val="both"/>
        <w:rPr/>
      </w:pPr>
      <w:r>
        <w:rPr>
          <w:rFonts w:cs="Times New Roman" w:ascii="Times New Roman" w:hAnsi="Times New Roman"/>
          <w:b/>
          <w:bCs/>
          <w:i w:val="false"/>
          <w:iCs w:val="false"/>
          <w:sz w:val="24"/>
          <w:szCs w:val="24"/>
          <w:lang w:val="uk-UA"/>
        </w:rPr>
        <w:t>Інша інформація, яка вимагається ст.14 Закону України “Про аудит фінансової звітності та аудиторську діяльність” від 21.07.2017 року №2258-</w:t>
      </w:r>
      <w:r>
        <w:rPr>
          <w:rFonts w:cs="Times New Roman" w:ascii="Times New Roman" w:hAnsi="Times New Roman"/>
          <w:b/>
          <w:bCs/>
          <w:i w:val="false"/>
          <w:iCs w:val="false"/>
          <w:sz w:val="24"/>
          <w:szCs w:val="24"/>
          <w:lang w:val="en-US"/>
        </w:rPr>
        <w:t>VIII.</w:t>
      </w:r>
    </w:p>
    <w:p>
      <w:pPr>
        <w:pStyle w:val="Normal"/>
        <w:spacing w:lineRule="auto" w:line="276" w:before="57" w:after="57"/>
        <w:ind w:left="0" w:right="0" w:firstLine="567"/>
        <w:jc w:val="both"/>
        <w:rPr/>
      </w:pPr>
      <w:r>
        <w:rPr>
          <w:rFonts w:cs="Times New Roman" w:ascii="Times New Roman" w:hAnsi="Times New Roman"/>
          <w:sz w:val="24"/>
          <w:szCs w:val="24"/>
          <w:lang w:val="uk-UA"/>
        </w:rPr>
        <w:t>Ми були призначені аудиторами для виконання обов'язкового аудиту фінансової звітності за рік, що закінчився 31.12.20</w:t>
      </w:r>
      <w:r>
        <w:rPr>
          <w:rFonts w:eastAsia="SimSun" w:cs="Times New Roman" w:ascii="Times New Roman" w:hAnsi="Times New Roman"/>
          <w:color w:val="auto"/>
          <w:kern w:val="2"/>
          <w:sz w:val="24"/>
          <w:szCs w:val="24"/>
          <w:lang w:val="uk-UA" w:eastAsia="zh-CN" w:bidi="hi-IN"/>
        </w:rPr>
        <w:t>21</w:t>
      </w:r>
      <w:r>
        <w:rPr>
          <w:rFonts w:cs="Times New Roman" w:ascii="Times New Roman" w:hAnsi="Times New Roman"/>
          <w:sz w:val="24"/>
          <w:szCs w:val="24"/>
          <w:lang w:val="uk-UA"/>
        </w:rPr>
        <w:t xml:space="preserve"> року наказом Генерального директора від </w:t>
      </w:r>
      <w:r>
        <w:rPr>
          <w:rFonts w:eastAsia="SimSun" w:cs="Times New Roman" w:ascii="Times New Roman" w:hAnsi="Times New Roman"/>
          <w:color w:val="000000"/>
          <w:kern w:val="2"/>
          <w:sz w:val="24"/>
          <w:szCs w:val="24"/>
          <w:lang w:val="ru-RU" w:eastAsia="zh-CN" w:bidi="hi-IN"/>
        </w:rPr>
        <w:t>02</w:t>
      </w:r>
      <w:r>
        <w:rPr>
          <w:rFonts w:cs="Times New Roman" w:ascii="Times New Roman" w:hAnsi="Times New Roman"/>
          <w:sz w:val="24"/>
          <w:szCs w:val="24"/>
          <w:lang w:val="uk-UA"/>
        </w:rPr>
        <w:t>.0</w:t>
      </w:r>
      <w:r>
        <w:rPr>
          <w:rFonts w:eastAsia="SimSun" w:cs="Times New Roman" w:ascii="Times New Roman" w:hAnsi="Times New Roman"/>
          <w:color w:val="000000"/>
          <w:kern w:val="2"/>
          <w:sz w:val="24"/>
          <w:szCs w:val="24"/>
          <w:lang w:val="uk-UA" w:eastAsia="zh-CN" w:bidi="hi-IN"/>
        </w:rPr>
        <w:t>2</w:t>
      </w:r>
      <w:r>
        <w:rPr>
          <w:rFonts w:cs="Times New Roman" w:ascii="Times New Roman" w:hAnsi="Times New Roman"/>
          <w:sz w:val="24"/>
          <w:szCs w:val="24"/>
          <w:lang w:val="uk-UA"/>
        </w:rPr>
        <w:t>.202</w:t>
      </w:r>
      <w:r>
        <w:rPr>
          <w:rFonts w:cs="Times New Roman" w:ascii="Times New Roman" w:hAnsi="Times New Roman"/>
          <w:sz w:val="24"/>
          <w:szCs w:val="24"/>
          <w:lang w:val="ru-RU"/>
        </w:rPr>
        <w:t>2</w:t>
      </w:r>
      <w:r>
        <w:rPr>
          <w:rFonts w:cs="Times New Roman" w:ascii="Times New Roman" w:hAnsi="Times New Roman"/>
          <w:sz w:val="24"/>
          <w:szCs w:val="24"/>
          <w:lang w:val="uk-UA"/>
        </w:rPr>
        <w:t xml:space="preserve"> року. Для АФ у формі ТОВ “Азимут” це завдання є третім завданням з обов'язкового аудиту фінансової звітності </w:t>
      </w:r>
      <w:r>
        <w:rPr>
          <w:rFonts w:eastAsia="SimSun" w:cs="Times New Roman" w:ascii="Times New Roman" w:hAnsi="Times New Roman"/>
          <w:color w:val="auto"/>
          <w:kern w:val="2"/>
          <w:sz w:val="24"/>
          <w:szCs w:val="24"/>
          <w:lang w:val="uk-UA" w:eastAsia="zh-CN" w:bidi="hi-IN"/>
        </w:rPr>
        <w:t>ТОВ “ТД ИРБИС”.</w:t>
      </w:r>
    </w:p>
    <w:p>
      <w:pPr>
        <w:pStyle w:val="Normal"/>
        <w:spacing w:lineRule="auto" w:line="276" w:before="57" w:after="57"/>
        <w:ind w:left="0" w:right="0" w:firstLine="567"/>
        <w:jc w:val="both"/>
        <w:rPr/>
      </w:pPr>
      <w:r>
        <w:rPr>
          <w:rFonts w:cs="Times New Roman" w:ascii="Times New Roman" w:hAnsi="Times New Roman"/>
          <w:sz w:val="24"/>
          <w:szCs w:val="24"/>
          <w:lang w:val="uk-UA"/>
        </w:rPr>
        <w:t>Ми не надавали Компанії інших послуг, заборонених відповідно до вимог статті 6 Закону “Про аудит фінансової звітності та аудиторську діяльність”</w:t>
      </w:r>
      <w:r>
        <w:rPr>
          <w:rFonts w:cs="Times New Roman" w:ascii="Times New Roman" w:hAnsi="Times New Roman"/>
          <w:sz w:val="24"/>
          <w:szCs w:val="24"/>
          <w:lang w:val="en-US"/>
        </w:rPr>
        <w:t xml:space="preserve"> </w:t>
      </w:r>
      <w:r>
        <w:rPr>
          <w:rFonts w:cs="Times New Roman" w:ascii="Times New Roman" w:hAnsi="Times New Roman"/>
          <w:sz w:val="24"/>
          <w:szCs w:val="24"/>
          <w:lang w:val="uk-UA"/>
        </w:rPr>
        <w:t>протягом 20</w:t>
      </w:r>
      <w:r>
        <w:rPr>
          <w:rFonts w:eastAsia="SimSun" w:cs="Times New Roman" w:ascii="Times New Roman" w:hAnsi="Times New Roman"/>
          <w:color w:val="auto"/>
          <w:kern w:val="2"/>
          <w:sz w:val="24"/>
          <w:szCs w:val="24"/>
          <w:lang w:val="uk-UA" w:eastAsia="zh-CN" w:bidi="hi-IN"/>
        </w:rPr>
        <w:t>21</w:t>
      </w:r>
      <w:r>
        <w:rPr>
          <w:rFonts w:cs="Times New Roman" w:ascii="Times New Roman" w:hAnsi="Times New Roman"/>
          <w:sz w:val="24"/>
          <w:szCs w:val="24"/>
          <w:lang w:val="uk-UA"/>
        </w:rPr>
        <w:t xml:space="preserve"> року та у період з  01 січня 2022 року до дати підписання цього звіту незалежного аудитора. </w:t>
      </w:r>
      <w:r>
        <w:rPr>
          <w:rFonts w:cs="Times New Roman" w:ascii="Times New Roman" w:hAnsi="Times New Roman"/>
          <w:sz w:val="24"/>
          <w:szCs w:val="24"/>
          <w:lang w:val="ru-RU"/>
        </w:rPr>
        <w:t>У 202</w:t>
      </w:r>
      <w:r>
        <w:rPr>
          <w:rFonts w:cs="Times New Roman" w:ascii="Times New Roman" w:hAnsi="Times New Roman"/>
          <w:sz w:val="24"/>
          <w:szCs w:val="24"/>
          <w:lang w:val="uk-UA"/>
        </w:rPr>
        <w:t>1</w:t>
      </w:r>
      <w:r>
        <w:rPr>
          <w:rFonts w:cs="Times New Roman" w:ascii="Times New Roman" w:hAnsi="Times New Roman"/>
          <w:sz w:val="24"/>
          <w:szCs w:val="24"/>
          <w:lang w:val="ru-RU"/>
        </w:rPr>
        <w:t xml:space="preserve"> </w:t>
      </w:r>
      <w:r>
        <w:rPr>
          <w:rFonts w:cs="Times New Roman" w:ascii="Times New Roman" w:hAnsi="Times New Roman"/>
          <w:sz w:val="24"/>
          <w:szCs w:val="24"/>
          <w:lang w:val="uk-UA"/>
        </w:rPr>
        <w:t>році, к</w:t>
      </w:r>
      <w:r>
        <w:rPr>
          <w:rFonts w:eastAsia="SimSun" w:cs="Times New Roman" w:ascii="Times New Roman" w:hAnsi="Times New Roman"/>
          <w:color w:val="000000"/>
          <w:kern w:val="2"/>
          <w:sz w:val="24"/>
          <w:szCs w:val="24"/>
          <w:lang w:val="uk-UA" w:eastAsia="zh-CN" w:bidi="hi-IN"/>
        </w:rPr>
        <w:t>рім послуг з обов'язково</w:t>
      </w:r>
      <w:r>
        <w:rPr>
          <w:rFonts w:cs="Times New Roman" w:ascii="Times New Roman" w:hAnsi="Times New Roman"/>
          <w:sz w:val="24"/>
          <w:szCs w:val="24"/>
          <w:lang w:val="uk-UA"/>
        </w:rPr>
        <w:t xml:space="preserve">го аудиту, </w:t>
      </w:r>
      <w:r>
        <w:rPr>
          <w:rFonts w:eastAsia="SimSun" w:cs="Times New Roman" w:ascii="Times New Roman" w:hAnsi="Times New Roman"/>
          <w:color w:val="000000"/>
          <w:kern w:val="2"/>
          <w:sz w:val="24"/>
          <w:szCs w:val="24"/>
          <w:lang w:val="ru-RU" w:eastAsia="zh-CN" w:bidi="hi-IN"/>
        </w:rPr>
        <w:t>м</w:t>
      </w:r>
      <w:r>
        <w:rPr>
          <w:rFonts w:cs="Times New Roman" w:ascii="Times New Roman" w:hAnsi="Times New Roman"/>
          <w:sz w:val="24"/>
          <w:szCs w:val="24"/>
          <w:lang w:val="uk-UA"/>
        </w:rPr>
        <w:t xml:space="preserve">и надавали Компанії </w:t>
      </w:r>
      <w:r>
        <w:rPr>
          <w:rFonts w:eastAsia="SimSun" w:cs="Times New Roman" w:ascii="Times New Roman" w:hAnsi="Times New Roman"/>
          <w:color w:val="000000"/>
          <w:kern w:val="2"/>
          <w:sz w:val="24"/>
          <w:szCs w:val="24"/>
          <w:lang w:val="uk-UA" w:eastAsia="zh-CN" w:bidi="hi-IN"/>
        </w:rPr>
        <w:t xml:space="preserve">інформаційно-консультаційні </w:t>
      </w:r>
      <w:r>
        <w:rPr>
          <w:rFonts w:cs="Times New Roman" w:ascii="Times New Roman" w:hAnsi="Times New Roman"/>
          <w:sz w:val="24"/>
          <w:szCs w:val="24"/>
          <w:lang w:val="uk-UA"/>
        </w:rPr>
        <w:t xml:space="preserve">послуги, </w:t>
      </w:r>
      <w:r>
        <w:rPr>
          <w:rFonts w:cs="Times New Roman" w:ascii="Times New Roman" w:hAnsi="Times New Roman"/>
          <w:color w:val="000000"/>
          <w:sz w:val="24"/>
          <w:szCs w:val="24"/>
          <w:lang w:val="uk-UA"/>
        </w:rPr>
        <w:t>не</w:t>
      </w:r>
      <w:r>
        <w:rPr>
          <w:rFonts w:cs="Times New Roman" w:ascii="Times New Roman" w:hAnsi="Times New Roman"/>
          <w:color w:val="000000"/>
          <w:sz w:val="24"/>
          <w:szCs w:val="24"/>
          <w:shd w:fill="auto" w:val="clear"/>
          <w:lang w:val="uk-UA"/>
        </w:rPr>
        <w:t xml:space="preserve"> заборонені законодавством.</w:t>
      </w:r>
    </w:p>
    <w:p>
      <w:pPr>
        <w:pStyle w:val="Normal"/>
        <w:spacing w:lineRule="auto" w:line="276" w:before="57" w:after="57"/>
        <w:ind w:left="0" w:right="0" w:firstLine="567"/>
        <w:jc w:val="both"/>
        <w:rPr>
          <w:rFonts w:ascii="Times New Roman" w:hAnsi="Times New Roman" w:cs="Times New Roman"/>
          <w:sz w:val="24"/>
          <w:szCs w:val="24"/>
          <w:lang w:val="uk-UA"/>
        </w:rPr>
      </w:pPr>
      <w:r>
        <w:rPr>
          <w:rFonts w:cs="Times New Roman" w:ascii="Times New Roman" w:hAnsi="Times New Roman"/>
          <w:sz w:val="24"/>
          <w:szCs w:val="24"/>
          <w:lang w:val="uk-UA"/>
        </w:rPr>
        <w:t>Ми та ключовий партнер є незалежними по відношенню до Компанії відповідно до Кодексу РМСЕБ та етичних вимог, застосовними в Україні до нашого аудиту фінансової звітності. Ми виконали інші етичні обов'язки відповідно до цих вимог і Кодексу РМСЕБ. Під час проведення аудиту нами не було встановлено жодних додаткових фактів або питань, які могли б вплинути на нашу незалежність та на які ми б хотіли звернути Вашу увагу.</w:t>
      </w:r>
    </w:p>
    <w:p>
      <w:pPr>
        <w:pStyle w:val="Normal"/>
        <w:spacing w:lineRule="auto" w:line="276" w:before="57" w:after="57"/>
        <w:ind w:left="0" w:right="0" w:firstLine="567"/>
        <w:jc w:val="both"/>
        <w:rPr/>
      </w:pPr>
      <w:r>
        <w:rPr>
          <w:rFonts w:eastAsia="SimSun" w:cs="Times New Roman" w:ascii="Times New Roman" w:hAnsi="Times New Roman"/>
          <w:i w:val="false"/>
          <w:iCs w:val="false"/>
          <w:color w:val="auto"/>
          <w:kern w:val="2"/>
          <w:sz w:val="24"/>
          <w:szCs w:val="24"/>
          <w:lang w:val="uk-UA" w:eastAsia="zh-CN" w:bidi="hi-IN"/>
        </w:rPr>
        <w:t>Ми підтверджуємо, що цей звіт незалежного аудитора узгоджений з додатковим звітом Загальним зборам.</w:t>
      </w:r>
    </w:p>
    <w:p>
      <w:pPr>
        <w:pStyle w:val="Normal"/>
        <w:spacing w:lineRule="auto" w:line="276" w:before="57" w:after="57"/>
        <w:ind w:left="0" w:right="0" w:firstLine="567"/>
        <w:jc w:val="both"/>
        <w:rPr/>
      </w:pPr>
      <w:r>
        <w:rPr>
          <w:rFonts w:cs="Times New Roman" w:ascii="Times New Roman" w:hAnsi="Times New Roman"/>
          <w:i w:val="false"/>
          <w:iCs w:val="false"/>
          <w:sz w:val="24"/>
          <w:szCs w:val="24"/>
          <w:lang w:val="uk-UA"/>
        </w:rPr>
        <w:t>Ми визначили значущі ризик</w:t>
      </w:r>
      <w:r>
        <w:rPr>
          <w:rFonts w:eastAsia="SimSun" w:cs="Times New Roman" w:ascii="Times New Roman" w:hAnsi="Times New Roman"/>
          <w:i w:val="false"/>
          <w:iCs w:val="false"/>
          <w:color w:val="auto"/>
          <w:kern w:val="2"/>
          <w:sz w:val="24"/>
          <w:szCs w:val="24"/>
          <w:lang w:val="uk-UA" w:eastAsia="zh-CN" w:bidi="hi-IN"/>
        </w:rPr>
        <w:t>и</w:t>
      </w:r>
      <w:r>
        <w:rPr>
          <w:rFonts w:cs="Times New Roman" w:ascii="Times New Roman" w:hAnsi="Times New Roman"/>
          <w:i w:val="false"/>
          <w:iCs w:val="false"/>
          <w:sz w:val="24"/>
          <w:szCs w:val="24"/>
          <w:lang w:val="uk-UA"/>
        </w:rPr>
        <w:t xml:space="preserve"> та ї</w:t>
      </w:r>
      <w:r>
        <w:rPr>
          <w:rFonts w:eastAsia="SimSun" w:cs="Times New Roman" w:ascii="Times New Roman" w:hAnsi="Times New Roman"/>
          <w:i w:val="false"/>
          <w:iCs w:val="false"/>
          <w:color w:val="auto"/>
          <w:kern w:val="2"/>
          <w:sz w:val="24"/>
          <w:szCs w:val="24"/>
          <w:lang w:val="uk-UA" w:eastAsia="zh-CN" w:bidi="hi-IN"/>
        </w:rPr>
        <w:t>х</w:t>
      </w:r>
      <w:r>
        <w:rPr>
          <w:rFonts w:cs="Times New Roman" w:ascii="Times New Roman" w:hAnsi="Times New Roman"/>
          <w:i w:val="false"/>
          <w:iCs w:val="false"/>
          <w:sz w:val="24"/>
          <w:szCs w:val="24"/>
          <w:lang w:val="uk-UA"/>
        </w:rPr>
        <w:t xml:space="preserve"> здатність привести до суттєвих викривлень у фінансовій звітності Компанії. </w:t>
      </w:r>
      <w:r>
        <w:rPr>
          <w:rFonts w:eastAsia="SimSun" w:cs="Times New Roman" w:ascii="Times New Roman" w:hAnsi="Times New Roman"/>
          <w:i w:val="false"/>
          <w:iCs w:val="false"/>
          <w:color w:val="auto"/>
          <w:kern w:val="2"/>
          <w:sz w:val="24"/>
          <w:szCs w:val="24"/>
          <w:lang w:val="uk-UA" w:eastAsia="zh-CN" w:bidi="hi-IN"/>
        </w:rPr>
        <w:t>Ми зосередили увагу на областях значного ризику: наявності незвичайних операцій, застосування управлінським персоналом Компанії суджень щодо статей фінансової звітності, яким властивий високий ступінь невизначеності. Ми отримали розуміння внутрішнього контролю в Компанії, щоб допомогти ідентифікувати та оцінити ризики суттєвих викривлень у фінансовій звітності.</w:t>
      </w:r>
    </w:p>
    <w:p>
      <w:pPr>
        <w:pStyle w:val="Normal"/>
        <w:spacing w:lineRule="auto" w:line="276" w:before="57" w:after="57"/>
        <w:ind w:left="0" w:right="0" w:firstLine="567"/>
        <w:jc w:val="both"/>
        <w:rPr/>
      </w:pPr>
      <w:r>
        <w:rPr>
          <w:rFonts w:eastAsia="Times New Roman" w:cs="Times New Roman" w:ascii="Times New Roman" w:hAnsi="Times New Roman"/>
          <w:i w:val="false"/>
          <w:iCs w:val="false"/>
          <w:sz w:val="24"/>
          <w:szCs w:val="24"/>
          <w:lang w:val="uk-UA"/>
        </w:rPr>
        <w:t xml:space="preserve"> </w:t>
      </w:r>
      <w:r>
        <w:rPr>
          <w:rFonts w:cs="Times New Roman" w:ascii="Times New Roman" w:hAnsi="Times New Roman"/>
          <w:i w:val="false"/>
          <w:iCs w:val="false"/>
          <w:sz w:val="24"/>
          <w:szCs w:val="24"/>
          <w:lang w:val="uk-UA"/>
        </w:rPr>
        <w:t xml:space="preserve">Питання, які потребували нашої особливої уваги, ми відобразили у нашому звіті в </w:t>
      </w:r>
      <w:r>
        <w:rPr>
          <w:rFonts w:eastAsia="SimSun" w:cs="Times New Roman" w:ascii="Times New Roman" w:hAnsi="Times New Roman"/>
          <w:i w:val="false"/>
          <w:iCs w:val="false"/>
          <w:color w:val="auto"/>
          <w:kern w:val="2"/>
          <w:sz w:val="24"/>
          <w:szCs w:val="24"/>
          <w:lang w:val="uk-UA" w:eastAsia="zh-CN" w:bidi="hi-IN"/>
        </w:rPr>
        <w:t>розділі</w:t>
      </w:r>
      <w:r>
        <w:rPr>
          <w:rFonts w:cs="Times New Roman" w:ascii="Times New Roman" w:hAnsi="Times New Roman"/>
          <w:i w:val="false"/>
          <w:iCs w:val="false"/>
          <w:sz w:val="24"/>
          <w:szCs w:val="24"/>
          <w:lang w:val="uk-UA"/>
        </w:rPr>
        <w:t xml:space="preserve"> “Ключові питання аудиту”.</w:t>
      </w:r>
    </w:p>
    <w:p>
      <w:pPr>
        <w:pStyle w:val="Normal"/>
        <w:spacing w:lineRule="auto" w:line="276" w:before="57" w:after="57"/>
        <w:ind w:left="0" w:right="0" w:firstLine="567"/>
        <w:jc w:val="both"/>
        <w:rPr>
          <w:rFonts w:ascii="Times New Roman" w:hAnsi="Times New Roman" w:eastAsia="SimSun" w:cs="Times New Roman"/>
          <w:i w:val="false"/>
          <w:i w:val="false"/>
          <w:iCs w:val="false"/>
          <w:color w:val="auto"/>
          <w:kern w:val="2"/>
          <w:sz w:val="24"/>
          <w:szCs w:val="24"/>
          <w:lang w:val="uk-UA" w:eastAsia="zh-CN" w:bidi="hi-IN"/>
        </w:rPr>
      </w:pPr>
      <w:r>
        <w:rPr>
          <w:rFonts w:eastAsia="SimSun" w:cs="Times New Roman" w:ascii="Times New Roman" w:hAnsi="Times New Roman"/>
          <w:i w:val="false"/>
          <w:iCs w:val="false"/>
          <w:color w:val="auto"/>
          <w:kern w:val="2"/>
          <w:sz w:val="24"/>
          <w:szCs w:val="24"/>
          <w:lang w:val="uk-UA" w:eastAsia="zh-CN" w:bidi="hi-IN"/>
        </w:rPr>
        <w:t>Ми не виявили достатніх підстав підозрювати, що мали місце порушення, зокрема шахрайство, щодо фінансової звітності Компанії.</w:t>
      </w:r>
    </w:p>
    <w:p>
      <w:pPr>
        <w:pStyle w:val="Normal"/>
        <w:spacing w:lineRule="auto" w:line="276" w:before="57" w:after="57"/>
        <w:ind w:left="57" w:right="0" w:firstLine="567"/>
        <w:jc w:val="both"/>
        <w:rPr/>
      </w:pPr>
      <w:r>
        <w:rPr>
          <w:rFonts w:cs="Times New Roman" w:ascii="Times New Roman" w:hAnsi="Times New Roman"/>
          <w:spacing w:val="-4"/>
          <w:sz w:val="24"/>
          <w:szCs w:val="24"/>
          <w:lang w:val="uk-UA"/>
        </w:rPr>
        <w:t>Обсяг нашого аудиту охоплював фінансову звітність Компанії за 20</w:t>
      </w:r>
      <w:r>
        <w:rPr>
          <w:rFonts w:eastAsia="SimSun" w:cs="Times New Roman" w:ascii="Times New Roman" w:hAnsi="Times New Roman"/>
          <w:color w:val="auto"/>
          <w:spacing w:val="-4"/>
          <w:kern w:val="2"/>
          <w:sz w:val="24"/>
          <w:szCs w:val="24"/>
          <w:lang w:val="uk-UA" w:eastAsia="zh-CN" w:bidi="hi-IN"/>
        </w:rPr>
        <w:t>21</w:t>
      </w:r>
      <w:r>
        <w:rPr>
          <w:rFonts w:cs="Times New Roman" w:ascii="Times New Roman" w:hAnsi="Times New Roman"/>
          <w:spacing w:val="-4"/>
          <w:sz w:val="24"/>
          <w:szCs w:val="24"/>
          <w:lang w:val="uk-UA"/>
        </w:rPr>
        <w:t xml:space="preserve"> рік. Ми перевірили цю фінансову звітність на основі тестування, рівень якого ґрунтувався на нашій оцінці ризику того, що стаття у фінансовій звітності може бути суттєво викривлена. У зв’язку з чим наш аудиторський підхід було зосереджено на тих сферах діяльності Компанії, які вважаються нами значними для результатів його діяльності за звітний період та фінансового стану на 31.12.20</w:t>
      </w:r>
      <w:r>
        <w:rPr>
          <w:rFonts w:eastAsia="SimSun" w:cs="Times New Roman" w:ascii="Times New Roman" w:hAnsi="Times New Roman"/>
          <w:color w:val="auto"/>
          <w:spacing w:val="-4"/>
          <w:kern w:val="2"/>
          <w:sz w:val="24"/>
          <w:szCs w:val="24"/>
          <w:lang w:val="uk-UA" w:eastAsia="zh-CN" w:bidi="hi-IN"/>
        </w:rPr>
        <w:t>21</w:t>
      </w:r>
      <w:r>
        <w:rPr>
          <w:rFonts w:cs="Times New Roman" w:ascii="Times New Roman" w:hAnsi="Times New Roman"/>
          <w:spacing w:val="-4"/>
          <w:sz w:val="24"/>
          <w:szCs w:val="24"/>
          <w:lang w:val="uk-UA"/>
        </w:rPr>
        <w:t xml:space="preserve"> року. </w:t>
      </w:r>
    </w:p>
    <w:p>
      <w:pPr>
        <w:pStyle w:val="Normal"/>
        <w:spacing w:before="57" w:after="57"/>
        <w:ind w:left="57" w:right="0" w:firstLine="567"/>
        <w:jc w:val="both"/>
        <w:rPr/>
      </w:pPr>
      <w:r>
        <w:rPr>
          <w:rFonts w:cs="Times New Roman" w:ascii="Times New Roman" w:hAnsi="Times New Roman"/>
          <w:sz w:val="24"/>
          <w:szCs w:val="24"/>
          <w:lang w:val="uk-UA"/>
        </w:rPr>
        <w:t xml:space="preserve">Партнером із завдання з аудиту (ключовим партнером з аудиту), результатом якого є цей звіт незалежного аудитора, є </w:t>
      </w:r>
      <w:r>
        <w:rPr>
          <w:rFonts w:eastAsia="SimSun" w:cs="Times New Roman" w:ascii="Times New Roman" w:hAnsi="Times New Roman"/>
          <w:color w:val="auto"/>
          <w:kern w:val="2"/>
          <w:sz w:val="24"/>
          <w:szCs w:val="24"/>
          <w:lang w:val="uk-UA" w:eastAsia="zh-CN" w:bidi="hi-IN"/>
        </w:rPr>
        <w:t>Бакунова Євгенія Віталіївна.</w:t>
      </w:r>
    </w:p>
    <w:p>
      <w:pPr>
        <w:pStyle w:val="Normal"/>
        <w:spacing w:before="57" w:after="57"/>
        <w:ind w:left="57" w:right="0" w:firstLine="567"/>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spacing w:before="57" w:after="57"/>
        <w:ind w:left="57" w:right="0" w:firstLine="567"/>
        <w:rPr>
          <w:rFonts w:ascii="Times New Roman" w:hAnsi="Times New Roman" w:cs="Times New Roman"/>
          <w:sz w:val="24"/>
          <w:szCs w:val="24"/>
          <w:lang w:val="uk-UA"/>
        </w:rPr>
      </w:pPr>
      <w:r>
        <w:rPr>
          <w:rFonts w:cs="Times New Roman" w:ascii="Times New Roman" w:hAnsi="Times New Roman"/>
          <w:sz w:val="24"/>
          <w:szCs w:val="24"/>
          <w:lang w:val="uk-UA"/>
        </w:rPr>
        <w:t>Ключовий партнер з аудиту</w:t>
        <w:tab/>
        <w:tab/>
        <w:tab/>
        <w:tab/>
        <w:tab/>
        <w:tab/>
        <w:t>Євгенія БАКУНОВА</w:t>
      </w:r>
    </w:p>
    <w:p>
      <w:pPr>
        <w:pStyle w:val="Normal"/>
        <w:spacing w:before="0" w:after="0"/>
        <w:ind w:left="57" w:right="0" w:firstLine="567"/>
        <w:rPr>
          <w:rFonts w:ascii="Times New Roman" w:hAnsi="Times New Roman" w:cs="Times New Roman"/>
          <w:sz w:val="20"/>
          <w:szCs w:val="20"/>
          <w:lang w:val="uk-UA"/>
        </w:rPr>
      </w:pPr>
      <w:r>
        <w:rPr>
          <w:rFonts w:cs="Times New Roman" w:ascii="Times New Roman" w:hAnsi="Times New Roman"/>
          <w:sz w:val="20"/>
          <w:szCs w:val="20"/>
          <w:lang w:val="uk-UA"/>
        </w:rPr>
        <w:t>Номер реєстрації аудитора у Реєстрі аудиторів</w:t>
      </w:r>
    </w:p>
    <w:p>
      <w:pPr>
        <w:pStyle w:val="Normal"/>
        <w:spacing w:before="0" w:after="0"/>
        <w:ind w:left="57" w:right="0" w:firstLine="567"/>
        <w:rPr>
          <w:rFonts w:ascii="Times New Roman" w:hAnsi="Times New Roman" w:cs="Times New Roman"/>
          <w:sz w:val="20"/>
          <w:szCs w:val="20"/>
          <w:lang w:val="uk-UA"/>
        </w:rPr>
      </w:pPr>
      <w:r>
        <w:rPr>
          <w:rFonts w:cs="Times New Roman" w:ascii="Times New Roman" w:hAnsi="Times New Roman"/>
          <w:sz w:val="20"/>
          <w:szCs w:val="20"/>
          <w:lang w:val="uk-UA"/>
        </w:rPr>
        <w:t xml:space="preserve">та суб'єктів аудиторської діяльності: № 101702 </w:t>
      </w:r>
    </w:p>
    <w:p>
      <w:pPr>
        <w:pStyle w:val="Normal"/>
        <w:spacing w:before="57" w:after="57"/>
        <w:ind w:left="57" w:right="0" w:firstLine="567"/>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left="57" w:right="0" w:firstLine="567"/>
        <w:rPr>
          <w:rFonts w:ascii="Times New Roman" w:hAnsi="Times New Roman" w:cs="Times New Roman"/>
          <w:sz w:val="24"/>
          <w:szCs w:val="24"/>
          <w:lang w:val="uk-UA"/>
        </w:rPr>
      </w:pPr>
      <w:r>
        <w:rPr>
          <w:rFonts w:cs="Times New Roman" w:ascii="Times New Roman" w:hAnsi="Times New Roman"/>
          <w:sz w:val="24"/>
          <w:szCs w:val="24"/>
          <w:lang w:val="uk-UA"/>
        </w:rPr>
        <w:t>АФ у формі ТОВ “Азимут”</w:t>
      </w:r>
    </w:p>
    <w:p>
      <w:pPr>
        <w:pStyle w:val="Normal"/>
        <w:spacing w:before="0" w:after="0"/>
        <w:ind w:left="57" w:right="0" w:firstLine="567"/>
        <w:rPr>
          <w:rFonts w:ascii="Times New Roman" w:hAnsi="Times New Roman" w:cs="Times New Roman"/>
          <w:sz w:val="24"/>
          <w:szCs w:val="24"/>
          <w:u w:val="none"/>
          <w:lang w:val="uk-UA"/>
        </w:rPr>
      </w:pPr>
      <w:r>
        <w:rPr>
          <w:rFonts w:cs="Times New Roman" w:ascii="Times New Roman" w:hAnsi="Times New Roman"/>
          <w:sz w:val="24"/>
          <w:szCs w:val="24"/>
          <w:u w:val="none"/>
          <w:lang w:val="uk-UA"/>
        </w:rPr>
        <w:t>Україна, 61072, м.Харків, вул.Тобольська 42А</w:t>
      </w:r>
    </w:p>
    <w:p>
      <w:pPr>
        <w:pStyle w:val="Normal"/>
        <w:spacing w:before="0" w:after="0"/>
        <w:ind w:left="57" w:right="0" w:firstLine="567"/>
        <w:rPr>
          <w:rFonts w:ascii="Times New Roman" w:hAnsi="Times New Roman" w:cs="Times New Roman"/>
          <w:sz w:val="20"/>
          <w:szCs w:val="20"/>
          <w:lang w:val="uk-UA"/>
        </w:rPr>
      </w:pPr>
      <w:r>
        <w:rPr>
          <w:rFonts w:cs="Times New Roman" w:ascii="Times New Roman" w:hAnsi="Times New Roman"/>
          <w:sz w:val="20"/>
          <w:szCs w:val="20"/>
          <w:lang w:val="uk-UA"/>
        </w:rPr>
        <w:t>Номер реєстрації у Реєстрі аудиторів</w:t>
      </w:r>
    </w:p>
    <w:p>
      <w:pPr>
        <w:pStyle w:val="Normal"/>
        <w:spacing w:before="0" w:after="0"/>
        <w:ind w:left="57" w:right="0" w:firstLine="567"/>
        <w:rPr>
          <w:rFonts w:ascii="Times New Roman" w:hAnsi="Times New Roman" w:cs="Times New Roman"/>
          <w:sz w:val="20"/>
          <w:szCs w:val="20"/>
          <w:u w:val="none"/>
          <w:lang w:val="uk-UA"/>
        </w:rPr>
      </w:pPr>
      <w:r>
        <w:rPr>
          <w:rFonts w:cs="Times New Roman" w:ascii="Times New Roman" w:hAnsi="Times New Roman"/>
          <w:sz w:val="20"/>
          <w:szCs w:val="20"/>
          <w:u w:val="none"/>
          <w:lang w:val="uk-UA"/>
        </w:rPr>
        <w:t xml:space="preserve">та суб'єктів аудиторської діяльності: № 0376 </w:t>
      </w:r>
    </w:p>
    <w:p>
      <w:pPr>
        <w:pStyle w:val="Normal"/>
        <w:spacing w:before="57" w:after="57"/>
        <w:ind w:left="57" w:right="0" w:firstLine="567"/>
        <w:rPr/>
      </w:pPr>
      <w:r>
        <w:rPr/>
      </w:r>
    </w:p>
    <w:p>
      <w:pPr>
        <w:pStyle w:val="Normal"/>
        <w:spacing w:before="57" w:after="57"/>
        <w:ind w:left="57" w:right="0" w:firstLine="567"/>
        <w:rPr/>
      </w:pPr>
      <w:r>
        <w:rPr>
          <w:rFonts w:eastAsia="SimSun" w:cs="Times New Roman" w:ascii="Times New Roman" w:hAnsi="Times New Roman"/>
          <w:color w:val="auto"/>
          <w:kern w:val="2"/>
          <w:sz w:val="24"/>
          <w:szCs w:val="24"/>
          <w:u w:val="none"/>
          <w:lang w:val="uk-UA" w:eastAsia="zh-CN" w:bidi="hi-IN"/>
        </w:rPr>
        <w:t>20 червня</w:t>
      </w:r>
      <w:r>
        <w:rPr>
          <w:rFonts w:cs="Times New Roman" w:ascii="Times New Roman" w:hAnsi="Times New Roman"/>
          <w:sz w:val="24"/>
          <w:szCs w:val="24"/>
          <w:u w:val="none"/>
          <w:lang w:val="uk-UA"/>
        </w:rPr>
        <w:t xml:space="preserve">  2022</w:t>
      </w:r>
      <w:r>
        <w:rPr>
          <w:rFonts w:eastAsia="SimSun" w:cs="Times New Roman" w:ascii="Times New Roman" w:hAnsi="Times New Roman"/>
          <w:color w:val="auto"/>
          <w:kern w:val="2"/>
          <w:sz w:val="24"/>
          <w:szCs w:val="24"/>
          <w:u w:val="none"/>
          <w:lang w:val="uk-UA" w:eastAsia="zh-CN" w:bidi="hi-IN"/>
        </w:rPr>
        <w:t xml:space="preserve"> </w:t>
      </w:r>
      <w:r>
        <w:rPr>
          <w:rFonts w:cs="Times New Roman" w:ascii="Times New Roman" w:hAnsi="Times New Roman"/>
          <w:sz w:val="24"/>
          <w:szCs w:val="24"/>
          <w:u w:val="none"/>
          <w:lang w:val="uk-UA"/>
        </w:rPr>
        <w:t>року</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200" w:right="1125" w:gutter="0" w:header="780" w:top="1339" w:footer="1050" w:bottom="110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jc w:val="right"/>
      <w:rPr/>
    </w:pPr>
    <w:r>
      <w:rPr/>
      <w:fldChar w:fldCharType="begin"/>
    </w:r>
    <w:r>
      <w:rPr/>
      <w:instrText xml:space="preserve"> PAGE </w:instrText>
    </w:r>
    <w:r>
      <w:rPr/>
      <w:fldChar w:fldCharType="separate"/>
    </w:r>
    <w:r>
      <w:rPr/>
      <w:t>4</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pPr>
    <w:r>
      <w:rPr/>
      <w:fldChar w:fldCharType="begin"/>
    </w:r>
    <w:r>
      <w:rPr/>
      <w:instrText xml:space="preserve"> PAGE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77"/>
        </w:tabs>
        <w:ind w:left="777" w:hanging="360"/>
      </w:pPr>
      <w:rPr>
        <w:rFonts w:ascii="Symbol" w:hAnsi="Symbol" w:cs="Symbol" w:hint="default"/>
        <w:sz w:val="24"/>
        <w:spacing w:val="-4"/>
        <w:szCs w:val="24"/>
        <w:lang w:val="uk-UA" w:eastAsia="ar-SA" w:bidi="ar-SA"/>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Symbol" w:hint="default"/>
        <w:sz w:val="24"/>
        <w:spacing w:val="-4"/>
        <w:szCs w:val="24"/>
        <w:lang w:val="uk-UA" w:eastAsia="ar-SA" w:bidi="ar-SA"/>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Symbol" w:hint="default"/>
        <w:sz w:val="24"/>
        <w:spacing w:val="-4"/>
        <w:szCs w:val="24"/>
        <w:lang w:val="uk-UA" w:eastAsia="ar-SA" w:bidi="ar-SA"/>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Times New Roman" w:hAnsi="Liberation Serif;Times New Roman" w:eastAsia="SimSun" w:cs="Mangal"/>
      <w:color w:val="auto"/>
      <w:kern w:val="2"/>
      <w:sz w:val="24"/>
      <w:szCs w:val="24"/>
      <w:lang w:val="en-US" w:eastAsia="zh-CN" w:bidi="hi-IN"/>
    </w:rPr>
  </w:style>
  <w:style w:type="paragraph" w:styleId="3">
    <w:name w:val="Heading 3"/>
    <w:basedOn w:val="Style17"/>
    <w:next w:val="Style18"/>
    <w:qFormat/>
    <w:pPr>
      <w:numPr>
        <w:ilvl w:val="2"/>
        <w:numId w:val="1"/>
      </w:numPr>
      <w:spacing w:before="140" w:after="120"/>
      <w:ind w:left="0" w:right="0" w:hanging="0"/>
      <w:outlineLvl w:val="2"/>
    </w:pPr>
    <w:rPr>
      <w:rFonts w:ascii="Liberation Serif;Times New Roman" w:hAnsi="Liberation Serif;Times New Roman" w:eastAsia="NSimSun" w:cs="Mangal"/>
      <w:b/>
      <w:bCs/>
      <w:sz w:val="28"/>
      <w:szCs w:val="28"/>
    </w:rPr>
  </w:style>
  <w:style w:type="character" w:styleId="WW8Num2z0">
    <w:name w:val="WW8Num2z0"/>
    <w:qFormat/>
    <w:rPr>
      <w:rFonts w:ascii="Symbol" w:hAnsi="Symbol" w:cs="OpenSymbol;Arial Unicode MS"/>
      <w:spacing w:val="-4"/>
      <w:sz w:val="24"/>
      <w:szCs w:val="24"/>
      <w:lang w:val="uk-UA" w:eastAsia="ar-SA" w:bidi="ar-SA"/>
    </w:rPr>
  </w:style>
  <w:style w:type="character" w:styleId="WW8Num2z1">
    <w:name w:val="WW8Num2z1"/>
    <w:qFormat/>
    <w:rPr>
      <w:rFonts w:ascii="OpenSymbol;Arial Unicode MS" w:hAnsi="OpenSymbol;Arial Unicode MS" w:cs="OpenSymbol;Arial Unicode M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Маркеры списка"/>
    <w:qFormat/>
    <w:rPr>
      <w:rFonts w:ascii="OpenSymbol;Arial Unicode MS" w:hAnsi="OpenSymbol;Arial Unicode MS" w:eastAsia="OpenSymbol;Arial Unicode MS" w:cs="OpenSymbol;Arial Unicode MS"/>
    </w:rPr>
  </w:style>
  <w:style w:type="character" w:styleId="Tlidtranslation">
    <w:name w:val="tlid-translation"/>
    <w:qFormat/>
    <w:rPr/>
  </w:style>
  <w:style w:type="character" w:styleId="Style14">
    <w:name w:val="Гіперпосилання"/>
    <w:rPr>
      <w:color w:val="0000FF"/>
      <w:u w:val="single"/>
    </w:rPr>
  </w:style>
  <w:style w:type="character" w:styleId="Style15">
    <w:name w:val="Відвідане гіперпосилання"/>
    <w:rPr>
      <w:color w:val="800080"/>
      <w:u w:val="single"/>
    </w:rPr>
  </w:style>
  <w:style w:type="character" w:styleId="Style16">
    <w:name w:val="Виділення жирним"/>
    <w:qFormat/>
    <w:rPr>
      <w:b/>
      <w:bCs/>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Lucida Sans"/>
      <w:i/>
      <w:iCs/>
      <w:sz w:val="24"/>
      <w:szCs w:val="24"/>
    </w:rPr>
  </w:style>
  <w:style w:type="paragraph" w:styleId="Style21">
    <w:name w:val="Покажчик"/>
    <w:basedOn w:val="Normal"/>
    <w:qFormat/>
    <w:pPr>
      <w:suppressLineNumbers/>
    </w:pPr>
    <w:rPr>
      <w:rFonts w:cs="Lucida Sans"/>
      <w:lang w:val="zxx" w:eastAsia="zxx" w:bidi="zxx"/>
    </w:rPr>
  </w:style>
  <w:style w:type="paragraph" w:styleId="Style22">
    <w:name w:val="Название"/>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5">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6">
    <w:name w:val="Header"/>
    <w:basedOn w:val="Normal"/>
    <w:pPr>
      <w:suppressLineNumbers/>
      <w:tabs>
        <w:tab w:val="clear" w:pos="709"/>
        <w:tab w:val="center" w:pos="4957" w:leader="none"/>
        <w:tab w:val="right" w:pos="9915" w:leader="none"/>
      </w:tabs>
    </w:pPr>
    <w:rPr/>
  </w:style>
  <w:style w:type="paragraph" w:styleId="Style27">
    <w:name w:val="Содержимое таблицы"/>
    <w:basedOn w:val="Normal"/>
    <w:qFormat/>
    <w:pPr>
      <w:suppressLineNumbers/>
    </w:pPr>
    <w:rPr/>
  </w:style>
  <w:style w:type="paragraph" w:styleId="Style28">
    <w:name w:val="Верхний колонтитул слева"/>
    <w:basedOn w:val="Normal"/>
    <w:qFormat/>
    <w:pPr>
      <w:suppressLineNumbers/>
      <w:tabs>
        <w:tab w:val="clear" w:pos="709"/>
        <w:tab w:val="center" w:pos="4957" w:leader="none"/>
        <w:tab w:val="right" w:pos="9915" w:leader="none"/>
      </w:tabs>
    </w:pPr>
    <w:rPr/>
  </w:style>
  <w:style w:type="paragraph" w:styleId="Style29">
    <w:name w:val="Заголовок таблицы"/>
    <w:basedOn w:val="Style27"/>
    <w:qFormat/>
    <w:pPr>
      <w:suppressLineNumbers/>
      <w:jc w:val="center"/>
    </w:pPr>
    <w:rPr>
      <w:b/>
      <w:bCs/>
    </w:rPr>
  </w:style>
  <w:style w:type="paragraph" w:styleId="Style30">
    <w:name w:val="Footer"/>
    <w:basedOn w:val="Normal"/>
    <w:pPr>
      <w:suppressLineNumbers/>
      <w:tabs>
        <w:tab w:val="clear" w:pos="709"/>
        <w:tab w:val="center" w:pos="4819" w:leader="none"/>
        <w:tab w:val="right" w:pos="9638" w:leader="none"/>
      </w:tabs>
    </w:pPr>
    <w:rPr/>
  </w:style>
  <w:style w:type="paragraph" w:styleId="WW2">
    <w:name w:val="WW-Основной текст с отступом 2"/>
    <w:basedOn w:val="Normal"/>
    <w:qFormat/>
    <w:pPr>
      <w:widowControl w:val="false"/>
      <w:suppressAutoHyphens w:val="true"/>
      <w:jc w:val="both"/>
    </w:pPr>
    <w:rPr>
      <w:rFonts w:eastAsia="Tahoma"/>
    </w:rPr>
  </w:style>
  <w:style w:type="paragraph" w:styleId="Style31">
    <w:name w:val="Вміст таблиці"/>
    <w:basedOn w:val="Normal"/>
    <w:qFormat/>
    <w:pPr>
      <w:widowControl w:val="false"/>
      <w:suppressLineNumbers/>
    </w:pPr>
    <w:rPr/>
  </w:style>
  <w:style w:type="paragraph" w:styleId="Style32">
    <w:name w:val="Заголовок таблиці"/>
    <w:basedOn w:val="Style31"/>
    <w:qFormat/>
    <w:pPr>
      <w:suppressLineNumbers/>
      <w:jc w:val="center"/>
    </w:pPr>
    <w:rPr>
      <w:b/>
      <w:bCs/>
    </w:rPr>
  </w:style>
  <w:style w:type="paragraph" w:styleId="Style33">
    <w:name w:val="Верхній колонтитул ліворуч"/>
    <w:basedOn w:val="Style26"/>
    <w:qFormat/>
    <w:pPr>
      <w:suppressLineNumbers/>
    </w:pPr>
    <w:rPr/>
  </w:style>
  <w:style w:type="numbering" w:styleId="WW8Num1">
    <w:name w:val="WW8Num1"/>
    <w:qFormat/>
  </w:style>
  <w:style w:type="numbering" w:styleId="WW8Num2">
    <w:name w:val="WW8Num2"/>
    <w:qFormat/>
  </w:style>
</w:style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settings" Target="settings.xml"/><Relationship Id="rId5" Type="http://schemas.openxmlformats.org/officeDocument/2006/relationships/header" Target="header3.xml"/><Relationship Id="rId10" Type="http://schemas.openxmlformats.org/officeDocument/2006/relationships/fontTable" Target="fontTable.xml"/><Relationship Id="rId4" Type="http://schemas.openxmlformats.org/officeDocument/2006/relationships/header" Target="header2.xml"/><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068F0A0CB91B48BA1863CE2C7D9315" ma:contentTypeVersion="14" ma:contentTypeDescription="Создание документа." ma:contentTypeScope="" ma:versionID="f01e5bcf4dfcc525938d261a2961e84d">
  <xsd:schema xmlns:xsd="http://www.w3.org/2001/XMLSchema" xmlns:xs="http://www.w3.org/2001/XMLSchema" xmlns:p="http://schemas.microsoft.com/office/2006/metadata/properties" xmlns:ns2="9156f0ee-1158-44d2-8151-a45f70f777cd" xmlns:ns3="e32abd8d-75f6-47ad-878f-bba21cf6e4d9" targetNamespace="http://schemas.microsoft.com/office/2006/metadata/properties" ma:root="true" ma:fieldsID="1c10e69e471828bec222e2ab73b8023f" ns2:_="" ns3:_="">
    <xsd:import namespace="9156f0ee-1158-44d2-8151-a45f70f777cd"/>
    <xsd:import namespace="e32abd8d-75f6-47ad-878f-bba21cf6e4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f0ee-1158-44d2-8151-a45f70f7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ee1a5969-d6b3-431d-993c-4e90e51766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abd8d-75f6-47ad-878f-bba21cf6e4d9"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80922f98-c0e7-44e3-9df1-a95b51d3fc21}" ma:internalName="TaxCatchAll" ma:showField="CatchAllData" ma:web="e32abd8d-75f6-47ad-878f-bba21cf6e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163C1-74D2-4464-A63D-871DBED9C574}"/>
</file>

<file path=customXml/itemProps2.xml><?xml version="1.0" encoding="utf-8"?>
<ds:datastoreItem xmlns:ds="http://schemas.openxmlformats.org/officeDocument/2006/customXml" ds:itemID="{A645D17E-B8F0-49BB-93BA-9DC3FC1D1DCB}"/>
</file>

<file path=docProps/app.xml><?xml version="1.0" encoding="utf-8"?>
<Properties xmlns="http://schemas.openxmlformats.org/officeDocument/2006/extended-properties" xmlns:vt="http://schemas.openxmlformats.org/officeDocument/2006/docPropsVTypes">
  <Template/>
  <TotalTime>1693</TotalTime>
  <Application>LibreOffice/7.3.4.2$Windows_X86_64 LibreOffice_project/728fec16bd5f605073805c3c9e7c4212a0120dc5</Application>
  <AppVersion>15.0000</AppVersion>
  <Pages>5</Pages>
  <Words>1829</Words>
  <Characters>11621</Characters>
  <CharactersWithSpaces>13400</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uk-UA</dc:language>
  <cp:lastModifiedBy/>
  <dcterms:modified xsi:type="dcterms:W3CDTF">2022-06-20T17:46:07Z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file>