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BD788" w14:textId="77777777" w:rsidR="00CF0E39" w:rsidRDefault="00362558">
      <w:pPr>
        <w:pStyle w:val="Standard"/>
        <w:spacing w:before="57" w:after="57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Додаток до Приміток до річної фінансової звітності за 2021 рік</w:t>
      </w:r>
    </w:p>
    <w:p w14:paraId="445BD789" w14:textId="77777777" w:rsidR="00CF0E39" w:rsidRDefault="00362558">
      <w:pPr>
        <w:pStyle w:val="Standard"/>
        <w:spacing w:before="57" w:after="57"/>
        <w:ind w:firstLine="567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Товариства з обмеженою відповідальністю “ТД ИРБИС”</w:t>
      </w:r>
    </w:p>
    <w:p w14:paraId="445BD78A" w14:textId="77777777" w:rsidR="00CF0E39" w:rsidRDefault="00CF0E39">
      <w:pPr>
        <w:pStyle w:val="Standard"/>
        <w:spacing w:before="57" w:after="57"/>
        <w:ind w:firstLine="567"/>
        <w:jc w:val="center"/>
        <w:rPr>
          <w:color w:val="000000"/>
          <w:sz w:val="26"/>
          <w:szCs w:val="26"/>
          <w:lang w:val="uk-UA"/>
        </w:rPr>
      </w:pPr>
    </w:p>
    <w:p w14:paraId="445BD78B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b/>
          <w:color w:val="000000"/>
          <w:sz w:val="26"/>
          <w:szCs w:val="26"/>
          <w:lang w:val="uk-UA"/>
        </w:rPr>
        <w:t>1. Інформація про Товариство</w:t>
      </w:r>
    </w:p>
    <w:p w14:paraId="445BD78C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color w:val="000000"/>
          <w:sz w:val="26"/>
          <w:szCs w:val="26"/>
          <w:lang w:val="uk-UA"/>
        </w:rPr>
        <w:t xml:space="preserve">Товариство з обмеженою відповідальністю “ТД ИРБИС”, Україна, м. Харків, </w:t>
      </w:r>
      <w:proofErr w:type="spellStart"/>
      <w:r>
        <w:rPr>
          <w:color w:val="000000"/>
          <w:sz w:val="26"/>
          <w:szCs w:val="26"/>
          <w:lang w:val="uk-UA"/>
        </w:rPr>
        <w:t>пров.Микитинський</w:t>
      </w:r>
      <w:proofErr w:type="spellEnd"/>
      <w:r>
        <w:rPr>
          <w:color w:val="000000"/>
          <w:sz w:val="26"/>
          <w:szCs w:val="26"/>
          <w:lang w:val="uk-UA"/>
        </w:rPr>
        <w:t>, 24</w:t>
      </w:r>
    </w:p>
    <w:p w14:paraId="445BD78D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color w:val="000000"/>
          <w:sz w:val="26"/>
          <w:szCs w:val="26"/>
          <w:lang w:val="uk-UA"/>
        </w:rPr>
        <w:t>Основна діяльність Товариства - оптова торгівля якісними компонентами, які забезпечують функціонування державного та приватного секторів економіки України – видобувної та обробної промисловості, електроенергетики, металургії, машинобу</w:t>
      </w:r>
      <w:r>
        <w:rPr>
          <w:color w:val="000000"/>
          <w:sz w:val="26"/>
          <w:szCs w:val="26"/>
          <w:lang w:val="uk-UA"/>
        </w:rPr>
        <w:t>дування, металообробки,  сільського господарства, харчової промисловості, транспорту та інших.</w:t>
      </w:r>
    </w:p>
    <w:p w14:paraId="445BD78E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color w:val="000000"/>
          <w:sz w:val="26"/>
          <w:szCs w:val="26"/>
          <w:lang w:val="uk-UA"/>
        </w:rPr>
        <w:t>Материнське (холдингове) підприємство - Товариство з обмеженою відповідальністю «ИНТЕХСЕРВИС»</w:t>
      </w:r>
    </w:p>
    <w:p w14:paraId="445BD78F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color w:val="000000"/>
          <w:sz w:val="26"/>
          <w:szCs w:val="26"/>
          <w:lang w:val="uk-UA"/>
        </w:rPr>
        <w:t>Середня кількість працівників підприємства протягом звітного період</w:t>
      </w:r>
      <w:r>
        <w:rPr>
          <w:color w:val="000000"/>
          <w:sz w:val="26"/>
          <w:szCs w:val="26"/>
          <w:lang w:val="uk-UA"/>
        </w:rPr>
        <w:t>у – 476.</w:t>
      </w:r>
    </w:p>
    <w:p w14:paraId="445BD790" w14:textId="77777777" w:rsidR="00CF0E39" w:rsidRDefault="00CF0E39">
      <w:pPr>
        <w:pStyle w:val="Textbody"/>
        <w:widowControl/>
        <w:spacing w:before="57" w:after="57"/>
        <w:ind w:firstLine="567"/>
        <w:jc w:val="both"/>
        <w:rPr>
          <w:iCs/>
          <w:color w:val="000000"/>
          <w:sz w:val="26"/>
          <w:szCs w:val="26"/>
          <w:lang w:val="uk-UA"/>
        </w:rPr>
      </w:pPr>
    </w:p>
    <w:p w14:paraId="445BD791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rFonts w:eastAsia="Segoe UI" w:cs="Calibri"/>
          <w:b/>
          <w:bCs/>
          <w:sz w:val="26"/>
          <w:szCs w:val="26"/>
          <w:lang w:val="uk-UA" w:eastAsia="zh-CN" w:bidi="ar-SA"/>
        </w:rPr>
        <w:t xml:space="preserve">2. </w:t>
      </w:r>
      <w:r>
        <w:rPr>
          <w:rFonts w:eastAsia="Times New Roman" w:cs="Calibri"/>
          <w:b/>
          <w:sz w:val="26"/>
          <w:szCs w:val="26"/>
          <w:lang w:val="uk-UA" w:eastAsia="ru-RU" w:bidi="ar-SA"/>
        </w:rPr>
        <w:t>Основа складанні фінансової звітності</w:t>
      </w:r>
    </w:p>
    <w:p w14:paraId="445BD792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rFonts w:eastAsia="Segoe UI" w:cs="Calibri"/>
          <w:sz w:val="26"/>
          <w:szCs w:val="26"/>
          <w:lang w:val="uk-UA" w:eastAsia="zh-CN" w:bidi="ar-SA"/>
        </w:rPr>
        <w:t xml:space="preserve">Основою надання фінансової звітності є </w:t>
      </w:r>
      <w:r>
        <w:rPr>
          <w:color w:val="000000"/>
          <w:sz w:val="26"/>
          <w:szCs w:val="26"/>
          <w:lang w:val="uk-UA"/>
        </w:rPr>
        <w:t>національн</w:t>
      </w:r>
      <w:r>
        <w:rPr>
          <w:rFonts w:eastAsia="Segoe UI" w:cs="Segoe UI"/>
          <w:color w:val="000000"/>
          <w:sz w:val="26"/>
          <w:szCs w:val="26"/>
          <w:lang w:val="uk-UA"/>
        </w:rPr>
        <w:t>і</w:t>
      </w:r>
      <w:r>
        <w:rPr>
          <w:color w:val="000000"/>
          <w:sz w:val="26"/>
          <w:szCs w:val="26"/>
          <w:lang w:val="uk-UA"/>
        </w:rPr>
        <w:t xml:space="preserve"> положення (стандарти) бухгалтерського обліку.</w:t>
      </w:r>
    </w:p>
    <w:p w14:paraId="445BD793" w14:textId="77777777" w:rsidR="00CF0E39" w:rsidRDefault="00CF0E39">
      <w:pPr>
        <w:pStyle w:val="Textbody"/>
        <w:widowControl/>
        <w:spacing w:before="57" w:after="57"/>
        <w:ind w:firstLine="567"/>
        <w:jc w:val="both"/>
        <w:rPr>
          <w:color w:val="000000"/>
          <w:sz w:val="26"/>
          <w:szCs w:val="26"/>
          <w:lang w:val="uk-UA"/>
        </w:rPr>
      </w:pPr>
    </w:p>
    <w:p w14:paraId="445BD794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b/>
          <w:bCs/>
          <w:color w:val="000000"/>
          <w:sz w:val="26"/>
          <w:szCs w:val="26"/>
          <w:lang w:val="uk-UA"/>
        </w:rPr>
        <w:t>3.</w:t>
      </w:r>
      <w:r>
        <w:rPr>
          <w:color w:val="000000"/>
          <w:sz w:val="26"/>
          <w:szCs w:val="26"/>
          <w:lang w:val="uk-UA"/>
        </w:rPr>
        <w:t xml:space="preserve"> </w:t>
      </w:r>
      <w:r>
        <w:rPr>
          <w:rStyle w:val="a7"/>
          <w:rFonts w:ascii="Times New Roman" w:hAnsi="Times New Roman" w:cs="Calibri"/>
          <w:sz w:val="26"/>
          <w:szCs w:val="26"/>
          <w:shd w:val="clear" w:color="auto" w:fill="auto"/>
          <w:lang w:val="uk-UA"/>
        </w:rPr>
        <w:t>Суттєві положення облікової політики</w:t>
      </w:r>
    </w:p>
    <w:p w14:paraId="445BD795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color w:val="000000"/>
          <w:sz w:val="26"/>
          <w:szCs w:val="26"/>
          <w:lang w:val="uk-UA"/>
        </w:rPr>
        <w:tab/>
        <w:t xml:space="preserve">Підприємство  застосовує такі </w:t>
      </w:r>
      <w:r>
        <w:rPr>
          <w:b/>
          <w:color w:val="000000"/>
          <w:sz w:val="26"/>
          <w:szCs w:val="26"/>
          <w:lang w:val="uk-UA"/>
        </w:rPr>
        <w:t>принципи оцінки статей звітності</w:t>
      </w:r>
      <w:r>
        <w:rPr>
          <w:color w:val="000000"/>
          <w:sz w:val="26"/>
          <w:szCs w:val="26"/>
          <w:lang w:val="uk-UA"/>
        </w:rPr>
        <w:t>:</w:t>
      </w:r>
    </w:p>
    <w:p w14:paraId="445BD796" w14:textId="77777777" w:rsidR="00CF0E39" w:rsidRDefault="00362558">
      <w:pPr>
        <w:pStyle w:val="Textbody"/>
        <w:widowControl/>
        <w:spacing w:before="57" w:after="57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 превалювання змісту над формою;</w:t>
      </w:r>
    </w:p>
    <w:p w14:paraId="445BD797" w14:textId="77777777" w:rsidR="00CF0E39" w:rsidRDefault="00362558">
      <w:pPr>
        <w:pStyle w:val="Textbody"/>
        <w:widowControl/>
        <w:spacing w:before="57" w:after="57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 xml:space="preserve">- обачності (тільки зареєстрований факт господарської діяльності свідчить про утворення прибутку і визначає </w:t>
      </w:r>
      <w:r>
        <w:rPr>
          <w:color w:val="000000"/>
          <w:sz w:val="26"/>
          <w:szCs w:val="26"/>
          <w:lang w:val="uk-UA"/>
        </w:rPr>
        <w:t>момент реалізації);</w:t>
      </w:r>
    </w:p>
    <w:p w14:paraId="445BD798" w14:textId="77777777" w:rsidR="00CF0E39" w:rsidRDefault="00362558">
      <w:pPr>
        <w:pStyle w:val="Textbody"/>
        <w:widowControl/>
        <w:spacing w:before="57" w:after="57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послідовності;</w:t>
      </w:r>
    </w:p>
    <w:p w14:paraId="445BD799" w14:textId="77777777" w:rsidR="00CF0E39" w:rsidRDefault="00362558">
      <w:pPr>
        <w:pStyle w:val="Textbody"/>
        <w:widowControl/>
        <w:spacing w:before="57" w:after="57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єдиних грошових вимірник;</w:t>
      </w:r>
    </w:p>
    <w:p w14:paraId="445BD79A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color w:val="000000"/>
          <w:sz w:val="26"/>
          <w:szCs w:val="26"/>
          <w:lang w:val="uk-UA"/>
        </w:rPr>
        <w:t>- періодичність складання звітності;</w:t>
      </w:r>
    </w:p>
    <w:p w14:paraId="445BD79B" w14:textId="77777777" w:rsidR="00CF0E39" w:rsidRDefault="00362558">
      <w:pPr>
        <w:pStyle w:val="Textbody"/>
        <w:widowControl/>
        <w:spacing w:before="57" w:after="57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безперервність діяльності;</w:t>
      </w:r>
    </w:p>
    <w:p w14:paraId="445BD79C" w14:textId="77777777" w:rsidR="00CF0E39" w:rsidRDefault="00362558">
      <w:pPr>
        <w:pStyle w:val="Textbody"/>
        <w:widowControl/>
        <w:spacing w:before="57" w:after="57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історична (фактична) собівартість;</w:t>
      </w:r>
    </w:p>
    <w:p w14:paraId="445BD79D" w14:textId="77777777" w:rsidR="00CF0E39" w:rsidRDefault="00362558">
      <w:pPr>
        <w:pStyle w:val="Textbody"/>
        <w:widowControl/>
        <w:spacing w:before="57" w:after="57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повне висвітлення;</w:t>
      </w:r>
    </w:p>
    <w:p w14:paraId="445BD79E" w14:textId="77777777" w:rsidR="00CF0E39" w:rsidRDefault="00362558">
      <w:pPr>
        <w:pStyle w:val="Textbody"/>
        <w:widowControl/>
        <w:spacing w:before="57" w:after="57"/>
        <w:ind w:firstLine="567"/>
        <w:jc w:val="both"/>
        <w:rPr>
          <w:color w:val="000000"/>
          <w:sz w:val="26"/>
          <w:szCs w:val="26"/>
          <w:lang w:val="uk-UA"/>
        </w:rPr>
      </w:pPr>
      <w:r>
        <w:rPr>
          <w:color w:val="000000"/>
          <w:sz w:val="26"/>
          <w:szCs w:val="26"/>
          <w:lang w:val="uk-UA"/>
        </w:rPr>
        <w:t>- нарахування та відповідність доходів і витрат.</w:t>
      </w:r>
    </w:p>
    <w:p w14:paraId="445BD79F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color w:val="000000"/>
          <w:sz w:val="26"/>
          <w:szCs w:val="26"/>
          <w:lang w:val="uk-UA"/>
        </w:rPr>
        <w:t xml:space="preserve">  На підприємстві </w:t>
      </w:r>
      <w:r>
        <w:rPr>
          <w:color w:val="000000"/>
          <w:sz w:val="26"/>
          <w:szCs w:val="26"/>
          <w:lang w:val="uk-UA"/>
        </w:rPr>
        <w:t>для визнання основних засобів, інших необоротних матеріальних і нематеріальних активів, встановлення строку їх корисного використання та мінімально допустимих термінів їх амортизації на підприємстві призначена постійно діюча експертно-технічну інвентаризац</w:t>
      </w:r>
      <w:r>
        <w:rPr>
          <w:color w:val="000000"/>
          <w:sz w:val="26"/>
          <w:szCs w:val="26"/>
          <w:lang w:val="uk-UA"/>
        </w:rPr>
        <w:t>ійну комісія.</w:t>
      </w:r>
    </w:p>
    <w:p w14:paraId="445BD7A0" w14:textId="77777777" w:rsidR="00CF0E39" w:rsidRDefault="00362558">
      <w:pPr>
        <w:widowControl/>
        <w:suppressAutoHyphens w:val="0"/>
        <w:spacing w:before="57" w:after="57"/>
        <w:ind w:firstLine="567"/>
        <w:jc w:val="both"/>
        <w:textAlignment w:val="auto"/>
      </w:pPr>
      <w:r>
        <w:rPr>
          <w:color w:val="000000"/>
          <w:spacing w:val="-2"/>
          <w:sz w:val="26"/>
          <w:szCs w:val="26"/>
          <w:lang w:val="uk-UA"/>
        </w:rPr>
        <w:t>Основним засобом визнається актив, якщо очікуваний термін його корисного використання більше року, а вартісна оцінка якого дорівнює сумі, що перевищує 20000 грн.</w:t>
      </w:r>
    </w:p>
    <w:p w14:paraId="445BD7A1" w14:textId="77777777" w:rsidR="00CF0E39" w:rsidRDefault="00362558">
      <w:pPr>
        <w:widowControl/>
        <w:suppressAutoHyphens w:val="0"/>
        <w:spacing w:before="57" w:after="57"/>
        <w:ind w:firstLine="567"/>
        <w:jc w:val="both"/>
        <w:textAlignment w:val="auto"/>
      </w:pPr>
      <w:r>
        <w:rPr>
          <w:color w:val="000000"/>
          <w:spacing w:val="-2"/>
          <w:sz w:val="26"/>
          <w:szCs w:val="26"/>
          <w:lang w:val="uk-UA"/>
        </w:rPr>
        <w:t>Матеріальні активи, термін використання (експлуатації)  яких більше одного року,</w:t>
      </w:r>
      <w:r>
        <w:rPr>
          <w:color w:val="000000"/>
          <w:spacing w:val="-2"/>
          <w:sz w:val="26"/>
          <w:szCs w:val="26"/>
          <w:lang w:val="uk-UA"/>
        </w:rPr>
        <w:t xml:space="preserve">  а вартість менше  20000 грн , визнаються іншими необоротними матеріальними активами.</w:t>
      </w:r>
    </w:p>
    <w:p w14:paraId="445BD7A2" w14:textId="77777777" w:rsidR="00CF0E39" w:rsidRDefault="00362558">
      <w:pPr>
        <w:widowControl/>
        <w:suppressAutoHyphens w:val="0"/>
        <w:spacing w:before="57" w:after="57"/>
        <w:ind w:firstLine="567"/>
        <w:jc w:val="both"/>
        <w:textAlignment w:val="auto"/>
      </w:pPr>
      <w:r>
        <w:rPr>
          <w:color w:val="000000"/>
          <w:sz w:val="26"/>
          <w:szCs w:val="26"/>
          <w:lang w:val="uk-UA"/>
        </w:rPr>
        <w:t>Ліквідаційна вартість основних засобів, інших необоротних активів та нематеріальних активів встановлена на рівні «0».</w:t>
      </w:r>
    </w:p>
    <w:p w14:paraId="445BD7A3" w14:textId="77777777" w:rsidR="00CF0E39" w:rsidRDefault="00362558">
      <w:pPr>
        <w:widowControl/>
        <w:suppressAutoHyphens w:val="0"/>
        <w:spacing w:before="57" w:after="57"/>
        <w:ind w:firstLine="567"/>
        <w:jc w:val="both"/>
        <w:textAlignment w:val="auto"/>
      </w:pPr>
      <w:r>
        <w:rPr>
          <w:color w:val="000000"/>
          <w:sz w:val="26"/>
          <w:szCs w:val="26"/>
          <w:lang w:val="uk-UA"/>
        </w:rPr>
        <w:t>Відповідно до Положення (стандарту) бухгалтерського</w:t>
      </w:r>
      <w:r>
        <w:rPr>
          <w:color w:val="000000"/>
          <w:sz w:val="26"/>
          <w:szCs w:val="26"/>
          <w:lang w:val="uk-UA"/>
        </w:rPr>
        <w:t xml:space="preserve"> обліку 8 «Нематеріальні активи» амортизацію нематеріальних активів здійснюють за прямолінійним методом.</w:t>
      </w:r>
    </w:p>
    <w:p w14:paraId="445BD7A4" w14:textId="77777777" w:rsidR="00CF0E39" w:rsidRDefault="00362558">
      <w:pPr>
        <w:widowControl/>
        <w:suppressAutoHyphens w:val="0"/>
        <w:spacing w:before="57" w:after="57"/>
        <w:ind w:firstLine="567"/>
        <w:jc w:val="both"/>
        <w:textAlignment w:val="auto"/>
      </w:pPr>
      <w:r>
        <w:rPr>
          <w:color w:val="000000"/>
          <w:sz w:val="26"/>
          <w:szCs w:val="26"/>
          <w:lang w:val="uk-UA"/>
        </w:rPr>
        <w:lastRenderedPageBreak/>
        <w:t>Нарахування амортизації основних засобів та інших необоротних активів здійснюють за прямолінійним методом відповідно до Положення (стандарту) бухгалтер</w:t>
      </w:r>
      <w:r>
        <w:rPr>
          <w:color w:val="000000"/>
          <w:sz w:val="26"/>
          <w:szCs w:val="26"/>
          <w:lang w:val="uk-UA"/>
        </w:rPr>
        <w:t>ського обліку 7 «Основні засоби».</w:t>
      </w:r>
    </w:p>
    <w:p w14:paraId="445BD7A5" w14:textId="77777777" w:rsidR="00CF0E39" w:rsidRDefault="00362558">
      <w:pPr>
        <w:widowControl/>
        <w:suppressAutoHyphens w:val="0"/>
        <w:spacing w:before="57" w:after="57"/>
        <w:ind w:firstLine="567"/>
        <w:jc w:val="both"/>
        <w:textAlignment w:val="auto"/>
      </w:pPr>
      <w:r>
        <w:rPr>
          <w:color w:val="000000"/>
          <w:sz w:val="26"/>
          <w:szCs w:val="26"/>
          <w:lang w:val="uk-UA"/>
        </w:rPr>
        <w:t>Амортизацію малоцінних необоротних матеріальних активів (група 11 згідно ПКУ) та бібліотечних фондів (група 10 згідно ПКУ) нараховують в першому місяці використання об’єкту у розмірі 100 відсотків його вартості.</w:t>
      </w:r>
    </w:p>
    <w:p w14:paraId="445BD7A6" w14:textId="77777777" w:rsidR="00CF0E39" w:rsidRDefault="00362558">
      <w:pPr>
        <w:spacing w:before="57" w:after="57"/>
        <w:ind w:firstLine="567"/>
        <w:jc w:val="both"/>
      </w:pPr>
      <w:r>
        <w:rPr>
          <w:sz w:val="26"/>
          <w:szCs w:val="26"/>
          <w:lang w:val="uk-UA"/>
        </w:rPr>
        <w:t>Підприємст</w:t>
      </w:r>
      <w:r>
        <w:rPr>
          <w:sz w:val="26"/>
          <w:szCs w:val="26"/>
          <w:lang w:val="uk-UA"/>
        </w:rPr>
        <w:t>во для класифікації поточних зобов’язань, оборотних активів, дебіторської заборгованості, малоцінних та швидкозношуваних предметів і інших статей балансу керується тривалістю операційного циклу на основі інформації економічного відділу, що надається бухгал</w:t>
      </w:r>
      <w:r>
        <w:rPr>
          <w:sz w:val="26"/>
          <w:szCs w:val="26"/>
          <w:lang w:val="uk-UA"/>
        </w:rPr>
        <w:t>терії згідно з графіком документообігу. По всіх наявних на даний момент операціях підприємства операційні цикли не перевищують одного року.</w:t>
      </w:r>
    </w:p>
    <w:p w14:paraId="445BD7A7" w14:textId="77777777" w:rsidR="00CF0E39" w:rsidRDefault="00362558">
      <w:pPr>
        <w:widowControl/>
        <w:suppressAutoHyphens w:val="0"/>
        <w:spacing w:before="57" w:after="57"/>
        <w:ind w:firstLine="567"/>
        <w:jc w:val="both"/>
        <w:textAlignment w:val="auto"/>
      </w:pPr>
      <w:r>
        <w:rPr>
          <w:sz w:val="26"/>
          <w:szCs w:val="26"/>
          <w:lang w:val="uk-UA"/>
        </w:rPr>
        <w:t>Методи оцінки вибуття запасів при відпусканні запасів у виробництво, у реалізацію або іншому вибутті здійснюється зг</w:t>
      </w:r>
      <w:r>
        <w:rPr>
          <w:sz w:val="26"/>
          <w:szCs w:val="26"/>
          <w:lang w:val="uk-UA"/>
        </w:rPr>
        <w:t>ідно п. 16 ПБУ № 9 («Запаси») за методом :</w:t>
      </w:r>
    </w:p>
    <w:p w14:paraId="445BD7A8" w14:textId="77777777" w:rsidR="00CF0E39" w:rsidRDefault="00362558">
      <w:pPr>
        <w:pStyle w:val="a5"/>
        <w:widowControl/>
        <w:numPr>
          <w:ilvl w:val="0"/>
          <w:numId w:val="1"/>
        </w:numPr>
        <w:suppressAutoHyphens w:val="0"/>
        <w:spacing w:before="57" w:after="57"/>
        <w:ind w:left="0" w:firstLine="567"/>
        <w:jc w:val="both"/>
        <w:textAlignment w:val="auto"/>
      </w:pPr>
      <w:r>
        <w:rPr>
          <w:sz w:val="26"/>
          <w:szCs w:val="26"/>
          <w:lang w:val="uk-UA"/>
        </w:rPr>
        <w:t xml:space="preserve"> ідентифікованої  собівартості для основних засобів, техніки і інших великогабаритних товарів, з номерами заводу-виробника ;</w:t>
      </w:r>
    </w:p>
    <w:p w14:paraId="445BD7A9" w14:textId="77777777" w:rsidR="00CF0E39" w:rsidRDefault="00362558">
      <w:pPr>
        <w:widowControl/>
        <w:numPr>
          <w:ilvl w:val="0"/>
          <w:numId w:val="1"/>
        </w:numPr>
        <w:suppressAutoHyphens w:val="0"/>
        <w:spacing w:before="57" w:after="57"/>
        <w:ind w:left="0" w:firstLine="567"/>
        <w:jc w:val="both"/>
        <w:textAlignment w:val="auto"/>
      </w:pPr>
      <w:r>
        <w:rPr>
          <w:sz w:val="26"/>
          <w:szCs w:val="26"/>
          <w:lang w:val="uk-UA"/>
        </w:rPr>
        <w:t xml:space="preserve"> ідентифікованої собівартості для промислових компонентів  (підшипників,    </w:t>
      </w:r>
      <w:r>
        <w:rPr>
          <w:sz w:val="26"/>
          <w:szCs w:val="26"/>
          <w:lang w:val="uk-UA"/>
        </w:rPr>
        <w:t>ущільнень, пасів, двигунів, ременів, стрічок, ланцюгів, мотор-редукторів, фільтрів, олив, комплектуючих та інших запчастин)  у зв’язку з тим, що:</w:t>
      </w:r>
    </w:p>
    <w:p w14:paraId="445BD7AA" w14:textId="77777777" w:rsidR="00CF0E39" w:rsidRDefault="00362558">
      <w:pPr>
        <w:widowControl/>
        <w:suppressAutoHyphens w:val="0"/>
        <w:spacing w:before="57" w:after="57"/>
        <w:ind w:firstLine="567"/>
        <w:jc w:val="both"/>
        <w:textAlignment w:val="auto"/>
      </w:pPr>
      <w:r>
        <w:rPr>
          <w:sz w:val="26"/>
          <w:szCs w:val="26"/>
          <w:lang w:val="uk-UA"/>
        </w:rPr>
        <w:t>а. часто надходять спеціальні замовлення на промислові компоненти однакових марок і класів, що відрізняються д</w:t>
      </w:r>
      <w:r>
        <w:rPr>
          <w:sz w:val="26"/>
          <w:szCs w:val="26"/>
          <w:lang w:val="uk-UA"/>
        </w:rPr>
        <w:t>еякими важливими параметрами: рядами радіального зазору, рівнем вібрації, захисними шайбами та ущільненнями , канавками тощо, які внаслідок цього не можуть бути  взаємозамінними;</w:t>
      </w:r>
    </w:p>
    <w:p w14:paraId="445BD7AB" w14:textId="77777777" w:rsidR="00CF0E39" w:rsidRDefault="00362558">
      <w:pPr>
        <w:widowControl/>
        <w:suppressAutoHyphens w:val="0"/>
        <w:spacing w:before="57" w:after="57"/>
        <w:ind w:firstLine="567"/>
        <w:jc w:val="both"/>
        <w:textAlignment w:val="auto"/>
      </w:pPr>
      <w:r>
        <w:rPr>
          <w:sz w:val="26"/>
          <w:szCs w:val="26"/>
          <w:lang w:val="uk-UA"/>
        </w:rPr>
        <w:t>б. промислові компоненти деяких заводів-виробників відповідають міжнародним с</w:t>
      </w:r>
      <w:r>
        <w:rPr>
          <w:sz w:val="26"/>
          <w:szCs w:val="26"/>
          <w:lang w:val="uk-UA"/>
        </w:rPr>
        <w:t>тандартам ISO9001-94  та QS-9000, а інші не відповідають, внаслідок чого не можуть бути  взаємозамінними.</w:t>
      </w:r>
    </w:p>
    <w:p w14:paraId="445BD7AC" w14:textId="77777777" w:rsidR="00CF0E39" w:rsidRDefault="00362558">
      <w:pPr>
        <w:pStyle w:val="Standard"/>
        <w:spacing w:before="57" w:after="57"/>
        <w:ind w:firstLine="567"/>
        <w:jc w:val="both"/>
      </w:pPr>
      <w:r>
        <w:rPr>
          <w:color w:val="000000"/>
          <w:sz w:val="26"/>
          <w:szCs w:val="26"/>
          <w:lang w:val="uk-UA"/>
        </w:rPr>
        <w:t xml:space="preserve">До складу власного капіталу підприємства крім зареєстрованого капіталу входить  </w:t>
      </w:r>
      <w:r>
        <w:rPr>
          <w:b/>
          <w:color w:val="000000"/>
          <w:sz w:val="26"/>
          <w:szCs w:val="26"/>
          <w:lang w:val="uk-UA"/>
        </w:rPr>
        <w:t>нерозподілений прибуток та резервний капітал</w:t>
      </w:r>
      <w:r>
        <w:rPr>
          <w:color w:val="000000"/>
          <w:sz w:val="26"/>
          <w:szCs w:val="26"/>
          <w:lang w:val="uk-UA"/>
        </w:rPr>
        <w:t xml:space="preserve">, які можуть </w:t>
      </w:r>
      <w:r>
        <w:rPr>
          <w:color w:val="000000"/>
          <w:sz w:val="26"/>
          <w:szCs w:val="26"/>
          <w:lang w:val="uk-UA"/>
        </w:rPr>
        <w:t>використовуватися на виплату дивідендів учасникам або направлятися на поповнення обігових коштів.</w:t>
      </w:r>
    </w:p>
    <w:p w14:paraId="445BD7AD" w14:textId="77777777" w:rsidR="00CF0E39" w:rsidRDefault="00362558">
      <w:pPr>
        <w:pStyle w:val="Textbody"/>
        <w:widowControl/>
        <w:spacing w:before="57" w:after="57"/>
        <w:ind w:firstLine="567"/>
        <w:jc w:val="both"/>
      </w:pPr>
      <w:r>
        <w:rPr>
          <w:color w:val="000000"/>
          <w:sz w:val="26"/>
          <w:szCs w:val="26"/>
          <w:lang w:val="uk-UA"/>
        </w:rPr>
        <w:t>До складу статей звіту про рух грошових коштів «Інші надходження» включаються повернення грошових коштів від підзвітних осіб, позики працівникам та інші. В ст</w:t>
      </w:r>
      <w:r>
        <w:rPr>
          <w:color w:val="000000"/>
          <w:sz w:val="26"/>
          <w:szCs w:val="26"/>
          <w:lang w:val="uk-UA"/>
        </w:rPr>
        <w:t xml:space="preserve">аттю «Інші витрачання» включаються витрачання на розрахункове-касове обслуговування, виплата </w:t>
      </w:r>
      <w:proofErr w:type="spellStart"/>
      <w:r>
        <w:rPr>
          <w:color w:val="000000"/>
          <w:sz w:val="26"/>
          <w:szCs w:val="26"/>
          <w:lang w:val="uk-UA"/>
        </w:rPr>
        <w:t>відряджень</w:t>
      </w:r>
      <w:proofErr w:type="spellEnd"/>
      <w:r>
        <w:rPr>
          <w:color w:val="000000"/>
          <w:sz w:val="26"/>
          <w:szCs w:val="26"/>
          <w:lang w:val="uk-UA"/>
        </w:rPr>
        <w:t xml:space="preserve"> та інше.</w:t>
      </w:r>
    </w:p>
    <w:p w14:paraId="445BD7AE" w14:textId="77777777" w:rsidR="00CF0E39" w:rsidRDefault="00CF0E39">
      <w:pPr>
        <w:pStyle w:val="TableContents"/>
        <w:spacing w:before="57" w:after="57"/>
        <w:ind w:firstLine="567"/>
        <w:rPr>
          <w:sz w:val="26"/>
          <w:szCs w:val="26"/>
          <w:lang w:val="uk-UA"/>
        </w:rPr>
      </w:pPr>
    </w:p>
    <w:p w14:paraId="445BD7AF" w14:textId="77777777" w:rsidR="00CF0E39" w:rsidRDefault="00362558">
      <w:pPr>
        <w:pStyle w:val="TableContents"/>
        <w:spacing w:before="57" w:after="57"/>
        <w:ind w:firstLine="567"/>
      </w:pPr>
      <w:r>
        <w:rPr>
          <w:color w:val="000000"/>
          <w:sz w:val="26"/>
          <w:szCs w:val="26"/>
          <w:lang w:val="uk-UA"/>
        </w:rPr>
        <w:t>У підприємства не було  змін в облікових оцінках, які мають суттєвий вплив на поточний період або, як очікується, суттєво будуть впливати на м</w:t>
      </w:r>
      <w:r>
        <w:rPr>
          <w:color w:val="000000"/>
          <w:sz w:val="26"/>
          <w:szCs w:val="26"/>
          <w:lang w:val="uk-UA"/>
        </w:rPr>
        <w:t>айбутні періоди.</w:t>
      </w:r>
    </w:p>
    <w:p w14:paraId="445BD7B0" w14:textId="77777777" w:rsidR="00CF0E39" w:rsidRDefault="00CF0E39">
      <w:pPr>
        <w:pStyle w:val="Textbody"/>
        <w:spacing w:before="57" w:after="57"/>
        <w:ind w:firstLine="567"/>
        <w:rPr>
          <w:sz w:val="26"/>
          <w:szCs w:val="26"/>
          <w:lang w:val="uk-UA"/>
        </w:rPr>
      </w:pPr>
    </w:p>
    <w:p w14:paraId="445BD7B1" w14:textId="77777777" w:rsidR="00CF0E39" w:rsidRDefault="00362558">
      <w:pPr>
        <w:pStyle w:val="TableContents"/>
        <w:spacing w:before="57" w:after="57"/>
        <w:ind w:firstLine="567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4. Дебіторська заборгованість</w:t>
      </w:r>
    </w:p>
    <w:p w14:paraId="445BD7B2" w14:textId="77777777" w:rsidR="00CF0E39" w:rsidRDefault="00362558">
      <w:pPr>
        <w:pStyle w:val="TableContents"/>
        <w:spacing w:before="57" w:after="57"/>
        <w:ind w:firstLine="567"/>
        <w:jc w:val="both"/>
      </w:pPr>
      <w:r>
        <w:rPr>
          <w:sz w:val="26"/>
          <w:szCs w:val="26"/>
          <w:lang w:val="uk-UA"/>
        </w:rPr>
        <w:t>Серед  дебіторів  підприємства: ПАТ “</w:t>
      </w:r>
      <w:proofErr w:type="spellStart"/>
      <w:r>
        <w:rPr>
          <w:sz w:val="26"/>
          <w:szCs w:val="26"/>
          <w:lang w:val="uk-UA"/>
        </w:rPr>
        <w:t>Запорожсталь</w:t>
      </w:r>
      <w:proofErr w:type="spellEnd"/>
      <w:r>
        <w:rPr>
          <w:sz w:val="26"/>
          <w:szCs w:val="26"/>
          <w:lang w:val="uk-UA"/>
        </w:rPr>
        <w:t xml:space="preserve">”, ТОВ “ТТК”,  </w:t>
      </w:r>
      <w:r>
        <w:rPr>
          <w:rFonts w:eastAsia="Arial Unicode MS" w:cs="Times New Roman"/>
          <w:color w:val="000000"/>
          <w:sz w:val="26"/>
          <w:szCs w:val="26"/>
          <w:lang w:val="uk-UA" w:eastAsia="zh-CN" w:bidi="hi-IN"/>
        </w:rPr>
        <w:t>ПрАТ Полтавський ГЗК, ТОВ “</w:t>
      </w:r>
      <w:proofErr w:type="spellStart"/>
      <w:r>
        <w:rPr>
          <w:rFonts w:eastAsia="Arial Unicode MS" w:cs="Times New Roman"/>
          <w:color w:val="000000"/>
          <w:sz w:val="26"/>
          <w:szCs w:val="26"/>
          <w:lang w:val="uk-UA" w:eastAsia="zh-CN" w:bidi="hi-IN"/>
        </w:rPr>
        <w:t>Промкомпонент</w:t>
      </w:r>
      <w:proofErr w:type="spellEnd"/>
      <w:r>
        <w:rPr>
          <w:rFonts w:eastAsia="Arial Unicode MS" w:cs="Times New Roman"/>
          <w:color w:val="000000"/>
          <w:sz w:val="26"/>
          <w:szCs w:val="26"/>
          <w:lang w:val="uk-UA" w:eastAsia="zh-CN" w:bidi="hi-IN"/>
        </w:rPr>
        <w:t>”, ПП “</w:t>
      </w:r>
      <w:proofErr w:type="spellStart"/>
      <w:r>
        <w:rPr>
          <w:rFonts w:eastAsia="Arial Unicode MS" w:cs="Times New Roman"/>
          <w:color w:val="000000"/>
          <w:sz w:val="26"/>
          <w:szCs w:val="26"/>
          <w:lang w:val="uk-UA" w:eastAsia="zh-CN" w:bidi="hi-IN"/>
        </w:rPr>
        <w:t>Лубнимаш</w:t>
      </w:r>
      <w:proofErr w:type="spellEnd"/>
      <w:r>
        <w:rPr>
          <w:rFonts w:eastAsia="Arial Unicode MS" w:cs="Times New Roman"/>
          <w:color w:val="000000"/>
          <w:sz w:val="26"/>
          <w:szCs w:val="26"/>
          <w:lang w:val="uk-UA" w:eastAsia="zh-CN" w:bidi="hi-IN"/>
        </w:rPr>
        <w:t>” та інші.</w:t>
      </w:r>
    </w:p>
    <w:p w14:paraId="445BD7B3" w14:textId="77777777" w:rsidR="00CF0E39" w:rsidRDefault="00362558">
      <w:pPr>
        <w:pStyle w:val="TableContents"/>
        <w:spacing w:before="57" w:after="57"/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 2021 році резерв сумнівних боргів створено у розмірі 298 </w:t>
      </w:r>
      <w:proofErr w:type="spellStart"/>
      <w:r>
        <w:rPr>
          <w:sz w:val="26"/>
          <w:szCs w:val="26"/>
          <w:lang w:val="uk-UA"/>
        </w:rPr>
        <w:t>тис.грн</w:t>
      </w:r>
      <w:proofErr w:type="spellEnd"/>
      <w:r>
        <w:rPr>
          <w:sz w:val="26"/>
          <w:szCs w:val="26"/>
          <w:lang w:val="uk-UA"/>
        </w:rPr>
        <w:t>.</w:t>
      </w:r>
    </w:p>
    <w:p w14:paraId="445BD7B4" w14:textId="77777777" w:rsidR="00CF0E39" w:rsidRDefault="00CF0E39">
      <w:pPr>
        <w:pStyle w:val="TableContents"/>
        <w:spacing w:before="57" w:after="57"/>
        <w:ind w:firstLine="567"/>
        <w:rPr>
          <w:sz w:val="26"/>
          <w:szCs w:val="26"/>
          <w:lang w:val="uk-UA"/>
        </w:rPr>
      </w:pPr>
    </w:p>
    <w:p w14:paraId="445BD7B5" w14:textId="77777777" w:rsidR="00CF0E39" w:rsidRDefault="00362558">
      <w:pPr>
        <w:pStyle w:val="TableContents"/>
        <w:spacing w:before="57" w:after="57"/>
        <w:ind w:firstLine="567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5. Інша д</w:t>
      </w:r>
      <w:r>
        <w:rPr>
          <w:b/>
          <w:bCs/>
          <w:sz w:val="26"/>
          <w:szCs w:val="26"/>
          <w:lang w:val="uk-UA"/>
        </w:rPr>
        <w:t>ебіторська заборгованість та інші поточні зобов'язання</w:t>
      </w:r>
    </w:p>
    <w:p w14:paraId="445BD7B6" w14:textId="77777777" w:rsidR="00CF0E39" w:rsidRDefault="00362558">
      <w:pPr>
        <w:pStyle w:val="TableContents"/>
        <w:spacing w:before="57" w:after="57"/>
        <w:ind w:firstLine="567"/>
        <w:jc w:val="both"/>
      </w:pPr>
      <w:r>
        <w:rPr>
          <w:sz w:val="26"/>
          <w:szCs w:val="26"/>
          <w:lang w:val="uk-UA"/>
        </w:rPr>
        <w:t>До складу статті балансу "Інша поточна дебіторська заборгованість" входять розрахунки з підзвітними особами, розрахунки з державними цільовими фондами, розрахунки по загальнообов’язковому страхуванню т</w:t>
      </w:r>
      <w:r>
        <w:rPr>
          <w:sz w:val="26"/>
          <w:szCs w:val="26"/>
          <w:lang w:val="uk-UA"/>
        </w:rPr>
        <w:t>а розрахунки з іншими дебіторами.</w:t>
      </w:r>
    </w:p>
    <w:p w14:paraId="445BD7B7" w14:textId="77777777" w:rsidR="00CF0E39" w:rsidRDefault="00362558">
      <w:pPr>
        <w:pStyle w:val="TableContents"/>
        <w:spacing w:before="57" w:after="57"/>
        <w:ind w:firstLine="567"/>
        <w:jc w:val="both"/>
      </w:pPr>
      <w:r>
        <w:rPr>
          <w:spacing w:val="-2"/>
          <w:sz w:val="26"/>
          <w:szCs w:val="26"/>
          <w:lang w:val="uk-UA"/>
        </w:rPr>
        <w:t xml:space="preserve">До складу статті балансу “Інші оборотні активи” включається залишок податкових зобов'язань з ПДВ, </w:t>
      </w:r>
      <w:r>
        <w:rPr>
          <w:color w:val="202124"/>
          <w:spacing w:val="-2"/>
          <w:sz w:val="26"/>
          <w:szCs w:val="26"/>
          <w:lang w:val="uk-UA"/>
        </w:rPr>
        <w:t>визначених виходячи з суми отриманих авансів (попередньої оплати).</w:t>
      </w:r>
    </w:p>
    <w:p w14:paraId="445BD7B8" w14:textId="77777777" w:rsidR="00CF0E39" w:rsidRDefault="00362558">
      <w:pPr>
        <w:pStyle w:val="TableContents"/>
        <w:spacing w:before="57" w:after="57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складу статті балансу  «Інші поточні зобов’язання» вкл</w:t>
      </w:r>
      <w:r>
        <w:rPr>
          <w:sz w:val="26"/>
          <w:szCs w:val="26"/>
          <w:lang w:val="uk-UA"/>
        </w:rPr>
        <w:t>ючені розрахунки з підзвітними особами, розрахунки з іншими дебіторами та податковий кредит, не підтверджений податковими накладними.</w:t>
      </w:r>
    </w:p>
    <w:p w14:paraId="445BD7B9" w14:textId="77777777" w:rsidR="00CF0E39" w:rsidRDefault="00CF0E39">
      <w:pPr>
        <w:pStyle w:val="2"/>
        <w:spacing w:before="57" w:after="57"/>
        <w:ind w:left="0" w:firstLine="567"/>
        <w:rPr>
          <w:sz w:val="26"/>
          <w:szCs w:val="26"/>
          <w:lang w:val="uk-UA"/>
        </w:rPr>
      </w:pPr>
    </w:p>
    <w:p w14:paraId="445BD7BA" w14:textId="77777777" w:rsidR="00CF0E39" w:rsidRDefault="00362558">
      <w:pPr>
        <w:pStyle w:val="2"/>
        <w:spacing w:before="57" w:after="57"/>
        <w:ind w:left="0" w:firstLine="567"/>
      </w:pPr>
      <w:r>
        <w:rPr>
          <w:rFonts w:eastAsia="Andale Sans UI" w:cs="Tahoma"/>
          <w:b/>
          <w:bCs/>
          <w:kern w:val="3"/>
          <w:sz w:val="26"/>
          <w:szCs w:val="26"/>
          <w:lang w:val="uk-UA" w:eastAsia="ja-JP" w:bidi="fa-IR"/>
        </w:rPr>
        <w:t>6. Витрати</w:t>
      </w:r>
    </w:p>
    <w:p w14:paraId="445BD7BB" w14:textId="77777777" w:rsidR="00CF0E39" w:rsidRDefault="00362558">
      <w:pPr>
        <w:pStyle w:val="2"/>
        <w:spacing w:before="57" w:after="57"/>
        <w:ind w:left="0" w:firstLine="567"/>
      </w:pPr>
      <w:r>
        <w:rPr>
          <w:rFonts w:eastAsia="Andale Sans UI" w:cs="Tahoma"/>
          <w:kern w:val="3"/>
          <w:sz w:val="26"/>
          <w:szCs w:val="26"/>
          <w:lang w:val="uk-UA" w:eastAsia="ja-JP" w:bidi="fa-IR"/>
        </w:rPr>
        <w:t>На підприємстві</w:t>
      </w:r>
      <w:r>
        <w:rPr>
          <w:sz w:val="26"/>
          <w:szCs w:val="26"/>
          <w:lang w:val="uk-UA"/>
        </w:rPr>
        <w:t xml:space="preserve"> </w:t>
      </w:r>
      <w:r>
        <w:rPr>
          <w:rFonts w:eastAsia="Andale Sans UI" w:cs="Tahoma"/>
          <w:kern w:val="3"/>
          <w:sz w:val="26"/>
          <w:szCs w:val="26"/>
          <w:lang w:val="uk-UA" w:eastAsia="ja-JP" w:bidi="fa-IR"/>
        </w:rPr>
        <w:t xml:space="preserve">витрати, пов’язані з операційною діяльністю, які не включаються до собівартості реалізованої продукції (адміністративні витрати, витрати на збут, інші операційні витрати, тощо), кваліфікуються відповідно до Положення (стандарту) бухгалтерського обліку 16 </w:t>
      </w:r>
      <w:r>
        <w:rPr>
          <w:rFonts w:eastAsia="Andale Sans UI" w:cs="Tahoma"/>
          <w:kern w:val="3"/>
          <w:sz w:val="26"/>
          <w:szCs w:val="26"/>
          <w:lang w:val="uk-UA" w:eastAsia="ja-JP" w:bidi="fa-IR"/>
        </w:rPr>
        <w:t>«Витрати». Вказані витрати вважаються витратами періоду, в якому вони понесені.</w:t>
      </w:r>
    </w:p>
    <w:p w14:paraId="445BD7BC" w14:textId="77777777" w:rsidR="00CF0E39" w:rsidRDefault="00CF0E39">
      <w:pPr>
        <w:pStyle w:val="Textbody"/>
        <w:spacing w:before="57" w:after="57"/>
        <w:ind w:firstLine="567"/>
        <w:rPr>
          <w:sz w:val="26"/>
          <w:szCs w:val="26"/>
          <w:lang w:val="uk-UA"/>
        </w:rPr>
      </w:pPr>
    </w:p>
    <w:p w14:paraId="445BD7BD" w14:textId="77777777" w:rsidR="00CF0E39" w:rsidRDefault="00362558">
      <w:pPr>
        <w:pStyle w:val="Textbody"/>
        <w:spacing w:before="57" w:after="57"/>
        <w:ind w:firstLine="567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7. Оренда</w:t>
      </w:r>
    </w:p>
    <w:p w14:paraId="445BD7BE" w14:textId="77777777" w:rsidR="00CF0E39" w:rsidRDefault="00362558">
      <w:pPr>
        <w:pStyle w:val="Textbody"/>
        <w:spacing w:before="57" w:after="57"/>
        <w:ind w:firstLine="567"/>
        <w:rPr>
          <w:i/>
          <w:iCs/>
          <w:sz w:val="26"/>
          <w:szCs w:val="26"/>
          <w:lang w:val="uk-UA"/>
        </w:rPr>
      </w:pPr>
      <w:r>
        <w:rPr>
          <w:i/>
          <w:iCs/>
          <w:sz w:val="26"/>
          <w:szCs w:val="26"/>
          <w:lang w:val="uk-UA"/>
        </w:rPr>
        <w:t>Орендар  щодо операційної оренди.</w:t>
      </w:r>
    </w:p>
    <w:p w14:paraId="445BD7BF" w14:textId="77777777" w:rsidR="00CF0E39" w:rsidRDefault="00362558">
      <w:pPr>
        <w:pStyle w:val="Textbody"/>
        <w:spacing w:before="57" w:after="57"/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Загальні витрати на операційну оренду за 2021 рік – 10 055,8 тис грн</w:t>
      </w:r>
    </w:p>
    <w:p w14:paraId="445BD7C0" w14:textId="77777777" w:rsidR="00CF0E39" w:rsidRDefault="00362558">
      <w:pPr>
        <w:pStyle w:val="TableContents"/>
        <w:spacing w:before="57" w:after="57"/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Дохід  від операційної оренди за 2021 рік – 487,9 тис грн.</w:t>
      </w:r>
    </w:p>
    <w:p w14:paraId="445BD7C1" w14:textId="77777777" w:rsidR="00CF0E39" w:rsidRDefault="00CF0E39">
      <w:pPr>
        <w:pStyle w:val="TableContents"/>
        <w:spacing w:before="57" w:after="57"/>
        <w:ind w:firstLine="567"/>
        <w:rPr>
          <w:sz w:val="26"/>
          <w:szCs w:val="26"/>
          <w:lang w:val="uk-UA"/>
        </w:rPr>
      </w:pPr>
    </w:p>
    <w:p w14:paraId="445BD7C2" w14:textId="77777777" w:rsidR="00CF0E39" w:rsidRDefault="00362558">
      <w:pPr>
        <w:pStyle w:val="TableContents"/>
        <w:spacing w:before="57" w:after="57"/>
        <w:ind w:firstLine="567"/>
        <w:rPr>
          <w:b/>
          <w:bCs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>8. Пов’язані сторони</w:t>
      </w:r>
    </w:p>
    <w:p w14:paraId="445BD7C3" w14:textId="77777777" w:rsidR="00CF0E39" w:rsidRDefault="00362558">
      <w:pPr>
        <w:pStyle w:val="Standard"/>
        <w:spacing w:before="57" w:after="57" w:line="276" w:lineRule="auto"/>
        <w:ind w:firstLine="567"/>
        <w:jc w:val="both"/>
      </w:pPr>
      <w:r>
        <w:rPr>
          <w:rFonts w:cs="Times New Roman"/>
          <w:sz w:val="26"/>
          <w:szCs w:val="26"/>
          <w:lang w:val="uk-UA"/>
        </w:rPr>
        <w:t>Пов’язані сторони представлені особами, що контролюють Товариство та підприємствами, які разом з Товариством знаходяться під спільним контролем, а також провідним управлінським персоналом.</w:t>
      </w:r>
    </w:p>
    <w:p w14:paraId="445BD7C4" w14:textId="77777777" w:rsidR="00CF0E39" w:rsidRDefault="00362558">
      <w:pPr>
        <w:pStyle w:val="Standard"/>
        <w:spacing w:before="57" w:after="57" w:line="276" w:lineRule="auto"/>
        <w:ind w:firstLine="567"/>
        <w:jc w:val="both"/>
        <w:rPr>
          <w:rFonts w:cs="Times New Roman"/>
          <w:spacing w:val="-2"/>
          <w:sz w:val="26"/>
          <w:szCs w:val="26"/>
          <w:lang w:val="uk-UA"/>
        </w:rPr>
      </w:pPr>
      <w:r>
        <w:rPr>
          <w:rFonts w:cs="Times New Roman"/>
          <w:spacing w:val="-2"/>
          <w:sz w:val="26"/>
          <w:szCs w:val="26"/>
          <w:lang w:val="uk-UA"/>
        </w:rPr>
        <w:t>Розрахунки з підприємствами пов’язаними сторон</w:t>
      </w:r>
      <w:r>
        <w:rPr>
          <w:rFonts w:cs="Times New Roman"/>
          <w:spacing w:val="-2"/>
          <w:sz w:val="26"/>
          <w:szCs w:val="26"/>
          <w:lang w:val="uk-UA"/>
        </w:rPr>
        <w:t>ами мають торговельний характер.</w:t>
      </w:r>
    </w:p>
    <w:p w14:paraId="445BD7C5" w14:textId="77777777" w:rsidR="00CF0E39" w:rsidRDefault="00362558">
      <w:pPr>
        <w:pStyle w:val="Standard"/>
        <w:spacing w:before="57" w:after="57" w:line="276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Обсяг господарських операцій з пов’язаними сторонами у 2021 році:</w:t>
      </w:r>
    </w:p>
    <w:tbl>
      <w:tblPr>
        <w:tblW w:w="98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0"/>
        <w:gridCol w:w="3750"/>
      </w:tblGrid>
      <w:tr w:rsidR="00CF0E39" w14:paraId="445BD7C8" w14:textId="77777777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C6" w14:textId="77777777" w:rsidR="00CF0E39" w:rsidRDefault="00362558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Придбання товарів (робіт, послуг)</w:t>
            </w:r>
          </w:p>
        </w:tc>
        <w:tc>
          <w:tcPr>
            <w:tcW w:w="3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C7" w14:textId="77777777" w:rsidR="00CF0E39" w:rsidRDefault="00362558">
            <w:pPr>
              <w:pStyle w:val="TableContents"/>
              <w:jc w:val="both"/>
            </w:pPr>
            <w:r>
              <w:rPr>
                <w:rFonts w:cs="Times New Roman"/>
                <w:sz w:val="26"/>
                <w:szCs w:val="26"/>
                <w:lang w:val="ru-RU"/>
              </w:rPr>
              <w:t xml:space="preserve">           429 783,1 тис </w:t>
            </w:r>
            <w:proofErr w:type="spellStart"/>
            <w:r>
              <w:rPr>
                <w:rFonts w:cs="Times New Roman"/>
                <w:sz w:val="26"/>
                <w:szCs w:val="26"/>
                <w:lang w:val="ru-RU"/>
              </w:rPr>
              <w:t>грн</w:t>
            </w:r>
            <w:proofErr w:type="spellEnd"/>
          </w:p>
        </w:tc>
      </w:tr>
      <w:tr w:rsidR="00CF0E39" w14:paraId="445BD7CB" w14:textId="77777777">
        <w:tblPrEx>
          <w:tblCellMar>
            <w:top w:w="0" w:type="dxa"/>
            <w:bottom w:w="0" w:type="dxa"/>
          </w:tblCellMar>
        </w:tblPrEx>
        <w:tc>
          <w:tcPr>
            <w:tcW w:w="61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C9" w14:textId="77777777" w:rsidR="00CF0E39" w:rsidRDefault="00362558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Продаж товарів (робіт, послуг)</w:t>
            </w:r>
          </w:p>
        </w:tc>
        <w:tc>
          <w:tcPr>
            <w:tcW w:w="37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CA" w14:textId="77777777" w:rsidR="00CF0E39" w:rsidRDefault="00362558">
            <w:pPr>
              <w:pStyle w:val="TableContents"/>
              <w:jc w:val="both"/>
            </w:pPr>
            <w:r>
              <w:rPr>
                <w:rFonts w:cs="Times New Roman"/>
                <w:sz w:val="26"/>
                <w:szCs w:val="26"/>
              </w:rPr>
              <w:t xml:space="preserve">             </w:t>
            </w:r>
            <w:r>
              <w:rPr>
                <w:rFonts w:cs="Times New Roman"/>
                <w:sz w:val="26"/>
                <w:szCs w:val="26"/>
                <w:lang w:val="ru-RU"/>
              </w:rPr>
              <w:t xml:space="preserve">211,2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тис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грн</w:t>
            </w:r>
            <w:proofErr w:type="spellEnd"/>
          </w:p>
        </w:tc>
      </w:tr>
    </w:tbl>
    <w:p w14:paraId="445BD7CC" w14:textId="77777777" w:rsidR="00CF0E39" w:rsidRDefault="00CF0E39">
      <w:pPr>
        <w:pStyle w:val="Standard"/>
        <w:spacing w:before="57" w:after="57" w:line="276" w:lineRule="auto"/>
        <w:ind w:firstLine="567"/>
        <w:jc w:val="both"/>
      </w:pPr>
    </w:p>
    <w:p w14:paraId="445BD7CD" w14:textId="77777777" w:rsidR="00CF0E39" w:rsidRDefault="00362558">
      <w:pPr>
        <w:pStyle w:val="Standard"/>
        <w:spacing w:before="57" w:after="57" w:line="276" w:lineRule="auto"/>
        <w:ind w:firstLine="567"/>
        <w:jc w:val="both"/>
      </w:pPr>
      <w:r>
        <w:rPr>
          <w:rFonts w:cs="Times New Roman"/>
          <w:sz w:val="26"/>
          <w:szCs w:val="26"/>
          <w:lang w:val="uk-UA"/>
        </w:rPr>
        <w:t xml:space="preserve">В 2021 році </w:t>
      </w:r>
      <w:r>
        <w:rPr>
          <w:rFonts w:cs="Times New Roman"/>
          <w:sz w:val="26"/>
          <w:szCs w:val="26"/>
          <w:lang w:val="ru-RU"/>
        </w:rPr>
        <w:t>в</w:t>
      </w:r>
      <w:r>
        <w:rPr>
          <w:rFonts w:cs="Times New Roman"/>
          <w:sz w:val="26"/>
          <w:szCs w:val="26"/>
          <w:lang w:val="uk-UA"/>
        </w:rPr>
        <w:t xml:space="preserve">ід </w:t>
      </w:r>
      <w:r>
        <w:rPr>
          <w:rFonts w:cs="Times New Roman"/>
          <w:sz w:val="26"/>
          <w:szCs w:val="26"/>
          <w:lang w:val="uk-UA"/>
        </w:rPr>
        <w:t>материнської компані</w:t>
      </w:r>
      <w:r>
        <w:rPr>
          <w:rFonts w:cs="Times New Roman"/>
          <w:sz w:val="26"/>
          <w:szCs w:val="26"/>
          <w:lang w:val="uk-UA"/>
        </w:rPr>
        <w:t>ї була отримана по</w:t>
      </w:r>
      <w:r>
        <w:rPr>
          <w:rFonts w:cs="Times New Roman"/>
          <w:sz w:val="26"/>
          <w:szCs w:val="26"/>
          <w:lang w:val="uk-UA"/>
        </w:rPr>
        <w:t>воротна допомога в су</w:t>
      </w:r>
      <w:r>
        <w:rPr>
          <w:rFonts w:cs="Times New Roman"/>
          <w:sz w:val="26"/>
          <w:szCs w:val="26"/>
          <w:lang w:val="uk-UA"/>
        </w:rPr>
        <w:t xml:space="preserve">мі 14 999 </w:t>
      </w:r>
      <w:proofErr w:type="spellStart"/>
      <w:r>
        <w:rPr>
          <w:rFonts w:cs="Times New Roman"/>
          <w:sz w:val="26"/>
          <w:szCs w:val="26"/>
          <w:lang w:val="uk-UA"/>
        </w:rPr>
        <w:t>тис.грн</w:t>
      </w:r>
      <w:proofErr w:type="spellEnd"/>
      <w:r>
        <w:rPr>
          <w:rFonts w:cs="Times New Roman"/>
          <w:sz w:val="26"/>
          <w:szCs w:val="26"/>
          <w:lang w:val="uk-UA"/>
        </w:rPr>
        <w:t>, яка була повернута.</w:t>
      </w:r>
    </w:p>
    <w:p w14:paraId="445BD7CE" w14:textId="77777777" w:rsidR="00CF0E39" w:rsidRDefault="00362558">
      <w:pPr>
        <w:pStyle w:val="Standard"/>
        <w:spacing w:before="57" w:after="57" w:line="276" w:lineRule="auto"/>
        <w:ind w:firstLine="567"/>
        <w:jc w:val="both"/>
      </w:pPr>
      <w:r>
        <w:rPr>
          <w:rFonts w:cs="Times New Roman"/>
          <w:sz w:val="26"/>
          <w:szCs w:val="26"/>
          <w:lang w:val="uk-UA"/>
        </w:rPr>
        <w:t xml:space="preserve">Материнській компанії у 2021 році було </w:t>
      </w:r>
      <w:proofErr w:type="spellStart"/>
      <w:r>
        <w:rPr>
          <w:rFonts w:cs="Times New Roman"/>
          <w:sz w:val="26"/>
          <w:szCs w:val="26"/>
          <w:lang w:val="uk-UA"/>
        </w:rPr>
        <w:t>виплачено</w:t>
      </w:r>
      <w:proofErr w:type="spellEnd"/>
      <w:r>
        <w:rPr>
          <w:rFonts w:cs="Times New Roman"/>
          <w:sz w:val="26"/>
          <w:szCs w:val="26"/>
          <w:lang w:val="uk-UA"/>
        </w:rPr>
        <w:t xml:space="preserve"> дивіденди у розмірі  81 387,8тис.грн</w:t>
      </w:r>
    </w:p>
    <w:p w14:paraId="445BD7CF" w14:textId="77777777" w:rsidR="00CF0E39" w:rsidRDefault="00362558">
      <w:pPr>
        <w:pStyle w:val="Standard"/>
        <w:spacing w:before="57" w:after="57" w:line="276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Залишки заборгованості з пов’язаними сторонами:</w:t>
      </w:r>
    </w:p>
    <w:tbl>
      <w:tblPr>
        <w:tblW w:w="98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5"/>
        <w:gridCol w:w="2610"/>
        <w:gridCol w:w="2385"/>
      </w:tblGrid>
      <w:tr w:rsidR="00CF0E39" w14:paraId="445BD7D3" w14:textId="77777777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D0" w14:textId="77777777" w:rsidR="00CF0E39" w:rsidRDefault="00CF0E39">
            <w:pPr>
              <w:pStyle w:val="TableContents"/>
              <w:jc w:val="both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2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D1" w14:textId="77777777" w:rsidR="00CF0E39" w:rsidRDefault="00362558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На 01.01.2021 р.</w:t>
            </w:r>
          </w:p>
        </w:tc>
        <w:tc>
          <w:tcPr>
            <w:tcW w:w="2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D2" w14:textId="77777777" w:rsidR="00CF0E39" w:rsidRDefault="00362558">
            <w:pPr>
              <w:pStyle w:val="TableContents"/>
              <w:jc w:val="center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 xml:space="preserve">На </w:t>
            </w:r>
            <w:r>
              <w:rPr>
                <w:rFonts w:cs="Times New Roman"/>
                <w:sz w:val="26"/>
                <w:szCs w:val="26"/>
                <w:lang w:val="uk-UA"/>
              </w:rPr>
              <w:t>31.12.2021 р.</w:t>
            </w:r>
          </w:p>
        </w:tc>
      </w:tr>
      <w:tr w:rsidR="00CF0E39" w14:paraId="445BD7D7" w14:textId="77777777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D4" w14:textId="77777777" w:rsidR="00CF0E39" w:rsidRDefault="00362558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Дебіторська заборгованість за товари (роботи, послуги)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D5" w14:textId="77777777" w:rsidR="00CF0E39" w:rsidRDefault="00362558">
            <w:pPr>
              <w:pStyle w:val="TableContents"/>
              <w:jc w:val="center"/>
            </w:pPr>
            <w:r>
              <w:rPr>
                <w:rFonts w:cs="Times New Roman"/>
                <w:sz w:val="26"/>
                <w:szCs w:val="26"/>
              </w:rPr>
              <w:t xml:space="preserve">    </w:t>
            </w:r>
            <w:r>
              <w:rPr>
                <w:rFonts w:cs="Times New Roman"/>
                <w:sz w:val="26"/>
                <w:szCs w:val="26"/>
                <w:lang w:val="ru-RU"/>
              </w:rPr>
              <w:t>13,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4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тис</w:t>
            </w:r>
            <w:proofErr w:type="spellEnd"/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D6" w14:textId="77777777" w:rsidR="00CF0E39" w:rsidRDefault="00362558">
            <w:pPr>
              <w:pStyle w:val="TableContents"/>
              <w:jc w:val="center"/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  <w:lang w:val="ru-RU"/>
              </w:rPr>
              <w:t>61,</w:t>
            </w:r>
            <w:proofErr w:type="gramStart"/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  <w:r>
              <w:rPr>
                <w:rFonts w:cs="Times New Roman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тис</w:t>
            </w:r>
            <w:proofErr w:type="spellEnd"/>
            <w:proofErr w:type="gram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грн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CF0E39" w14:paraId="445BD7DB" w14:textId="77777777">
        <w:tblPrEx>
          <w:tblCellMar>
            <w:top w:w="0" w:type="dxa"/>
            <w:bottom w:w="0" w:type="dxa"/>
          </w:tblCellMar>
        </w:tblPrEx>
        <w:tc>
          <w:tcPr>
            <w:tcW w:w="48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D8" w14:textId="77777777" w:rsidR="00CF0E39" w:rsidRDefault="00362558">
            <w:pPr>
              <w:pStyle w:val="TableContents"/>
              <w:jc w:val="both"/>
              <w:rPr>
                <w:rFonts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Кредиторська заборгованість за товари (роботи, послуги)</w:t>
            </w:r>
          </w:p>
        </w:tc>
        <w:tc>
          <w:tcPr>
            <w:tcW w:w="26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D9" w14:textId="77777777" w:rsidR="00CF0E39" w:rsidRDefault="00362558">
            <w:pPr>
              <w:pStyle w:val="TableContents"/>
              <w:jc w:val="center"/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cs="Times New Roman"/>
                <w:sz w:val="26"/>
                <w:szCs w:val="26"/>
                <w:lang w:val="ru-RU"/>
              </w:rPr>
              <w:t>42 867,2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тис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грн</w:t>
            </w:r>
            <w:proofErr w:type="spellEnd"/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5BD7DA" w14:textId="77777777" w:rsidR="00CF0E39" w:rsidRDefault="00362558">
            <w:pPr>
              <w:pStyle w:val="TableContents"/>
              <w:jc w:val="center"/>
            </w:pPr>
            <w:r>
              <w:rPr>
                <w:rFonts w:cs="Times New Roman"/>
                <w:sz w:val="26"/>
                <w:szCs w:val="26"/>
              </w:rPr>
              <w:t xml:space="preserve">  </w:t>
            </w:r>
            <w:r>
              <w:rPr>
                <w:rFonts w:cs="Times New Roman"/>
                <w:sz w:val="26"/>
                <w:szCs w:val="26"/>
                <w:lang w:val="ru-RU"/>
              </w:rPr>
              <w:t>60 105,7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тис</w:t>
            </w:r>
            <w:proofErr w:type="spellEnd"/>
            <w:r>
              <w:rPr>
                <w:rFonts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cs="Times New Roman"/>
                <w:sz w:val="26"/>
                <w:szCs w:val="26"/>
              </w:rPr>
              <w:t>грн</w:t>
            </w:r>
            <w:proofErr w:type="spellEnd"/>
          </w:p>
        </w:tc>
      </w:tr>
    </w:tbl>
    <w:p w14:paraId="445BD7DC" w14:textId="77777777" w:rsidR="00CF0E39" w:rsidRDefault="00362558">
      <w:pPr>
        <w:pStyle w:val="Standard"/>
        <w:spacing w:before="57" w:after="57" w:line="276" w:lineRule="auto"/>
        <w:ind w:firstLine="567"/>
        <w:jc w:val="both"/>
        <w:rPr>
          <w:rFonts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>Простроченої та безнадійної заборгованості на 31.12.2021 р. немає.</w:t>
      </w:r>
    </w:p>
    <w:p w14:paraId="445BD7DD" w14:textId="77777777" w:rsidR="00CF0E39" w:rsidRDefault="00362558">
      <w:pPr>
        <w:pStyle w:val="TableContents"/>
        <w:spacing w:before="57" w:after="57"/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Провідний управлінський персонал  одержує від підприємства тільки  поточні виплати у вигляді заробітної плати.</w:t>
      </w:r>
    </w:p>
    <w:p w14:paraId="445BD7DE" w14:textId="77777777" w:rsidR="00CF0E39" w:rsidRDefault="00CF0E39">
      <w:pPr>
        <w:pStyle w:val="TableContents"/>
        <w:spacing w:before="57" w:after="57"/>
        <w:ind w:firstLine="567"/>
        <w:rPr>
          <w:sz w:val="26"/>
          <w:szCs w:val="26"/>
          <w:lang w:val="uk-UA"/>
        </w:rPr>
      </w:pPr>
    </w:p>
    <w:p w14:paraId="445BD7DF" w14:textId="77777777" w:rsidR="00CF0E39" w:rsidRDefault="00362558">
      <w:pPr>
        <w:pStyle w:val="TableContents"/>
        <w:spacing w:before="57" w:after="57"/>
        <w:ind w:firstLine="567"/>
      </w:pPr>
      <w:r>
        <w:rPr>
          <w:b/>
          <w:bCs/>
          <w:color w:val="000000"/>
          <w:sz w:val="26"/>
          <w:szCs w:val="26"/>
          <w:lang w:val="uk-UA"/>
        </w:rPr>
        <w:t xml:space="preserve">9. </w:t>
      </w:r>
      <w:r>
        <w:rPr>
          <w:b/>
          <w:bCs/>
          <w:sz w:val="26"/>
          <w:szCs w:val="26"/>
          <w:lang w:val="uk-UA"/>
        </w:rPr>
        <w:t>Подій після дати балансу</w:t>
      </w:r>
    </w:p>
    <w:p w14:paraId="445BD7E0" w14:textId="77777777" w:rsidR="00CF0E39" w:rsidRDefault="00362558">
      <w:pPr>
        <w:pStyle w:val="Textbody"/>
        <w:spacing w:before="57" w:after="57"/>
        <w:ind w:firstLine="567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24.02.2022 року розпочалося масштабне військове вторгнення Російської Федерації на територію України.</w:t>
      </w:r>
    </w:p>
    <w:p w14:paraId="445BD7E1" w14:textId="77777777" w:rsidR="00CF0E39" w:rsidRDefault="00362558">
      <w:pPr>
        <w:pStyle w:val="textbody0"/>
        <w:spacing w:before="57" w:after="57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Війна, звичайно, критично вплинула на стан роботи підприємства. Більшість співробітників компанії опинились в небезпеці і вимушені були покинути свої домі</w:t>
      </w:r>
      <w:r>
        <w:rPr>
          <w:rFonts w:ascii="Times New Roman" w:hAnsi="Times New Roman"/>
          <w:sz w:val="26"/>
          <w:szCs w:val="26"/>
          <w:lang w:val="uk-UA"/>
        </w:rPr>
        <w:t>вки. На щастя всі живі. З урахуванням того, що місто Харків з перших годин війни опинився в зоні активних бойових дій, була пряма загроза існуванню підприємства. З метою збереження можливості здійснювати основну діяльність було прийнято рішення не здійснюв</w:t>
      </w:r>
      <w:r>
        <w:rPr>
          <w:rFonts w:ascii="Times New Roman" w:hAnsi="Times New Roman"/>
          <w:sz w:val="26"/>
          <w:szCs w:val="26"/>
          <w:lang w:val="uk-UA"/>
        </w:rPr>
        <w:t xml:space="preserve">ати </w:t>
      </w:r>
      <w:proofErr w:type="spellStart"/>
      <w:r>
        <w:rPr>
          <w:rFonts w:ascii="Times New Roman" w:hAnsi="Times New Roman"/>
          <w:sz w:val="26"/>
          <w:szCs w:val="26"/>
          <w:lang w:val="uk-UA"/>
        </w:rPr>
        <w:t>релокацію</w:t>
      </w:r>
      <w:proofErr w:type="spellEnd"/>
      <w:r>
        <w:rPr>
          <w:rFonts w:ascii="Times New Roman" w:hAnsi="Times New Roman"/>
          <w:sz w:val="26"/>
          <w:szCs w:val="26"/>
          <w:lang w:val="uk-UA"/>
        </w:rPr>
        <w:t xml:space="preserve"> основного складу і офісу компанії. З урахуванням досвіду, набутого за два роки пандемії, були налагоджені процеси по становленню віддаленої роботи більшості співробітників, це надало змогу вже в березні 2022 року відновити роботу більшості пі</w:t>
      </w:r>
      <w:r>
        <w:rPr>
          <w:rFonts w:ascii="Times New Roman" w:hAnsi="Times New Roman"/>
          <w:sz w:val="26"/>
          <w:szCs w:val="26"/>
          <w:lang w:val="uk-UA"/>
        </w:rPr>
        <w:t>дрозділів. На жаль, з урахуванням окупації Маріуполя, підприємство втратило всі активи - офіс і склад невідокремленого структурного підрозділу в м. Маріуполь. Також постає велике питання про можливість повернення дебіторської заборгованості повністю знищен</w:t>
      </w:r>
      <w:r>
        <w:rPr>
          <w:rFonts w:ascii="Times New Roman" w:hAnsi="Times New Roman"/>
          <w:sz w:val="26"/>
          <w:szCs w:val="26"/>
          <w:lang w:val="uk-UA"/>
        </w:rPr>
        <w:t>их підприємств у м. Маріуполь. На даний час керівництво оцінює суми можливих збитків.</w:t>
      </w:r>
    </w:p>
    <w:p w14:paraId="445BD7E2" w14:textId="77777777" w:rsidR="00CF0E39" w:rsidRDefault="00362558">
      <w:pPr>
        <w:pStyle w:val="textbody0"/>
        <w:spacing w:before="57" w:after="57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З урахуванням бойових дій, які продовжують руйнувати життя українців, підприємства,  інфраструктуру і економіку України, підприємство зазнає збитки: багато </w:t>
      </w:r>
      <w:r>
        <w:rPr>
          <w:rFonts w:ascii="Times New Roman" w:hAnsi="Times New Roman"/>
          <w:sz w:val="26"/>
          <w:szCs w:val="26"/>
          <w:lang w:val="uk-UA"/>
        </w:rPr>
        <w:t>клієнтів втратило можливість виконувати свої зобов’язання по оплаті за отриманий товар, отриманий до початку бойових дій, з урахуванням росту цін на паливо збільшуються логістичні витрати, у перспективі зменшуються обсяги виробництва і споживання продукції</w:t>
      </w:r>
      <w:r>
        <w:rPr>
          <w:rFonts w:ascii="Times New Roman" w:hAnsi="Times New Roman"/>
          <w:sz w:val="26"/>
          <w:szCs w:val="26"/>
          <w:lang w:val="uk-UA"/>
        </w:rPr>
        <w:t>. З урахування прогнозів Світового банку про те, що економіка України може скоротитися на 50 %, потрібно здійснювати оптимізацію складських запасів і збільшити обертання ліквідного товару. Підприємство зазнало збитків в зв’язку зі збільшенням майже у три р</w:t>
      </w:r>
      <w:r>
        <w:rPr>
          <w:rFonts w:ascii="Times New Roman" w:hAnsi="Times New Roman"/>
          <w:sz w:val="26"/>
          <w:szCs w:val="26"/>
          <w:lang w:val="uk-UA"/>
        </w:rPr>
        <w:t xml:space="preserve">ази простроченої заборгованості. З урахуванням того що значна частина простроченої заборгованості з вірогідністю може стати безповоротно втраченою, зростають ризики появи недостатності обігових коштів, для ліквідації якої потрібно залучати кредитні кошти, </w:t>
      </w:r>
      <w:r>
        <w:rPr>
          <w:rFonts w:ascii="Times New Roman" w:hAnsi="Times New Roman"/>
          <w:sz w:val="26"/>
          <w:szCs w:val="26"/>
          <w:lang w:val="uk-UA"/>
        </w:rPr>
        <w:t>які стають дорожчими. Уповільнення темпів розвитку глобальної економіки, зростання інфляції, збільшення логістичних проблем в тому числу з руху сировинних товарів призводить до подорожчання всіх груп товарів, що призводить до уповільнення споживання і змен</w:t>
      </w:r>
      <w:r>
        <w:rPr>
          <w:rFonts w:ascii="Times New Roman" w:hAnsi="Times New Roman"/>
          <w:sz w:val="26"/>
          <w:szCs w:val="26"/>
          <w:lang w:val="uk-UA"/>
        </w:rPr>
        <w:t>шенню доходу від основної діяльності. При цьому підприємство знаходить можливість здійснювати дієву допомогу Збройним силам України і далі буде намагатися бути частиною працюючого економічного фронту країни.</w:t>
      </w:r>
    </w:p>
    <w:p w14:paraId="445BD7E3" w14:textId="77777777" w:rsidR="00CF0E39" w:rsidRDefault="00362558">
      <w:pPr>
        <w:pStyle w:val="Textbody"/>
        <w:spacing w:before="57" w:after="57"/>
        <w:ind w:firstLine="567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підприємства достатньо активів для продовження</w:t>
      </w:r>
      <w:r>
        <w:rPr>
          <w:sz w:val="26"/>
          <w:szCs w:val="26"/>
          <w:lang w:val="uk-UA"/>
        </w:rPr>
        <w:t xml:space="preserve"> безперервної діяльності. Внаслідок непередбачуваності перебігу воєнних дій керівництво підприємства продовжує спостерігати за ситуацією та приймає оперативні рішення для забезпечення безперервної роботи підприємства.</w:t>
      </w:r>
    </w:p>
    <w:p w14:paraId="445BD7E4" w14:textId="77777777" w:rsidR="00CF0E39" w:rsidRDefault="00362558">
      <w:pPr>
        <w:pStyle w:val="Textbody"/>
        <w:spacing w:before="57" w:after="57"/>
        <w:ind w:firstLine="567"/>
        <w:jc w:val="both"/>
      </w:pPr>
      <w:r>
        <w:rPr>
          <w:sz w:val="26"/>
          <w:szCs w:val="26"/>
          <w:shd w:val="clear" w:color="auto" w:fill="FFFFFF"/>
          <w:lang w:val="uk-UA"/>
        </w:rPr>
        <w:t>Після закінчення звітного періоду до д</w:t>
      </w:r>
      <w:r>
        <w:rPr>
          <w:sz w:val="26"/>
          <w:szCs w:val="26"/>
          <w:shd w:val="clear" w:color="auto" w:fill="FFFFFF"/>
          <w:lang w:val="uk-UA"/>
        </w:rPr>
        <w:t>ати затвердження фінансової звітності було нараховано дивіденди засновн</w:t>
      </w:r>
      <w:r>
        <w:rPr>
          <w:sz w:val="26"/>
          <w:szCs w:val="26"/>
          <w:lang w:val="uk-UA"/>
        </w:rPr>
        <w:t xml:space="preserve">икам в сумі 20000 </w:t>
      </w:r>
      <w:proofErr w:type="spellStart"/>
      <w:r>
        <w:rPr>
          <w:sz w:val="26"/>
          <w:szCs w:val="26"/>
          <w:lang w:val="uk-UA"/>
        </w:rPr>
        <w:t>тис.грн</w:t>
      </w:r>
      <w:proofErr w:type="spellEnd"/>
      <w:r>
        <w:rPr>
          <w:sz w:val="26"/>
          <w:szCs w:val="26"/>
          <w:lang w:val="uk-UA"/>
        </w:rPr>
        <w:t xml:space="preserve">., з яких </w:t>
      </w:r>
      <w:proofErr w:type="spellStart"/>
      <w:r>
        <w:rPr>
          <w:sz w:val="26"/>
          <w:szCs w:val="26"/>
          <w:lang w:val="uk-UA"/>
        </w:rPr>
        <w:t>виплачено</w:t>
      </w:r>
      <w:proofErr w:type="spellEnd"/>
      <w:r>
        <w:rPr>
          <w:sz w:val="26"/>
          <w:szCs w:val="26"/>
          <w:lang w:val="uk-UA"/>
        </w:rPr>
        <w:t xml:space="preserve"> 20000 </w:t>
      </w:r>
      <w:proofErr w:type="spellStart"/>
      <w:r>
        <w:rPr>
          <w:sz w:val="26"/>
          <w:szCs w:val="26"/>
          <w:lang w:val="uk-UA"/>
        </w:rPr>
        <w:t>тис.грн</w:t>
      </w:r>
      <w:proofErr w:type="spellEnd"/>
      <w:r>
        <w:rPr>
          <w:sz w:val="26"/>
          <w:szCs w:val="26"/>
          <w:lang w:val="uk-UA"/>
        </w:rPr>
        <w:t>.</w:t>
      </w:r>
    </w:p>
    <w:p w14:paraId="445BD7E5" w14:textId="77777777" w:rsidR="00CF0E39" w:rsidRDefault="00362558">
      <w:pPr>
        <w:pStyle w:val="Textbody"/>
        <w:spacing w:before="57" w:after="57"/>
        <w:ind w:firstLine="567"/>
        <w:rPr>
          <w:sz w:val="26"/>
          <w:szCs w:val="26"/>
          <w:shd w:val="clear" w:color="auto" w:fill="FFFFFF"/>
          <w:lang w:val="uk-UA"/>
        </w:rPr>
      </w:pPr>
      <w:r>
        <w:rPr>
          <w:sz w:val="26"/>
          <w:szCs w:val="26"/>
          <w:shd w:val="clear" w:color="auto" w:fill="FFFFFF"/>
          <w:lang w:val="uk-UA"/>
        </w:rPr>
        <w:t>Інших подій після дати балансу, що потребують коригування статей фінансової звітності чи розкриття на дату затвердження фінан</w:t>
      </w:r>
      <w:r>
        <w:rPr>
          <w:sz w:val="26"/>
          <w:szCs w:val="26"/>
          <w:shd w:val="clear" w:color="auto" w:fill="FFFFFF"/>
          <w:lang w:val="uk-UA"/>
        </w:rPr>
        <w:t>сової звітності не було.</w:t>
      </w:r>
    </w:p>
    <w:p w14:paraId="445BD7E6" w14:textId="77777777" w:rsidR="00CF0E39" w:rsidRDefault="00CF0E39">
      <w:pPr>
        <w:pStyle w:val="Textbody"/>
        <w:spacing w:before="57" w:after="57"/>
        <w:ind w:firstLine="567"/>
      </w:pPr>
    </w:p>
    <w:p w14:paraId="445BD7E7" w14:textId="77777777" w:rsidR="00CF0E39" w:rsidRDefault="00362558">
      <w:pPr>
        <w:pStyle w:val="Textbody"/>
        <w:spacing w:before="57" w:after="57"/>
        <w:ind w:firstLine="567"/>
      </w:pPr>
      <w:r>
        <w:rPr>
          <w:b/>
          <w:bCs/>
          <w:color w:val="000000"/>
          <w:sz w:val="26"/>
          <w:szCs w:val="26"/>
          <w:lang w:val="uk-UA"/>
        </w:rPr>
        <w:t>Цей додаток є невід'ємною частиною Приміток до річної фінансової звітності за 2021 рік Товариства з обмеженою відповідальністю “ТД Ирбис”.</w:t>
      </w:r>
    </w:p>
    <w:p w14:paraId="445BD7E8" w14:textId="77777777" w:rsidR="00CF0E39" w:rsidRDefault="00362558">
      <w:pPr>
        <w:pStyle w:val="Textbody"/>
        <w:spacing w:before="57" w:after="57"/>
        <w:ind w:firstLine="567"/>
      </w:pPr>
      <w:r>
        <w:rPr>
          <w:b/>
          <w:bCs/>
          <w:color w:val="000000"/>
          <w:sz w:val="26"/>
          <w:szCs w:val="26"/>
          <w:lang w:val="uk-UA"/>
        </w:rPr>
        <w:t xml:space="preserve">Дата затвердження фінансової звітності </w:t>
      </w:r>
      <w:r>
        <w:rPr>
          <w:color w:val="000000"/>
          <w:sz w:val="26"/>
          <w:szCs w:val="26"/>
          <w:lang w:val="uk-UA"/>
        </w:rPr>
        <w:t>- 15</w:t>
      </w:r>
      <w:r>
        <w:rPr>
          <w:iCs/>
          <w:color w:val="000000"/>
          <w:sz w:val="26"/>
          <w:szCs w:val="26"/>
          <w:lang w:val="uk-UA"/>
        </w:rPr>
        <w:t xml:space="preserve"> червня 2021 року</w:t>
      </w:r>
    </w:p>
    <w:p w14:paraId="445BD7E9" w14:textId="77777777" w:rsidR="00CF0E39" w:rsidRDefault="00CF0E39">
      <w:pPr>
        <w:pStyle w:val="Textbody"/>
        <w:widowControl/>
        <w:spacing w:before="57" w:after="57"/>
        <w:ind w:firstLine="567"/>
        <w:jc w:val="both"/>
        <w:rPr>
          <w:sz w:val="26"/>
          <w:szCs w:val="26"/>
        </w:rPr>
      </w:pPr>
    </w:p>
    <w:p w14:paraId="445BD7EA" w14:textId="77777777" w:rsidR="00CF0E39" w:rsidRDefault="00CF0E39">
      <w:pPr>
        <w:pStyle w:val="Textbody"/>
        <w:widowControl/>
        <w:spacing w:before="57" w:after="57"/>
        <w:ind w:firstLine="567"/>
        <w:jc w:val="both"/>
        <w:rPr>
          <w:sz w:val="26"/>
          <w:szCs w:val="26"/>
        </w:rPr>
      </w:pPr>
    </w:p>
    <w:p w14:paraId="445BD7EB" w14:textId="77777777" w:rsidR="00CF0E39" w:rsidRDefault="00362558">
      <w:pPr>
        <w:pStyle w:val="Standard"/>
        <w:spacing w:before="57" w:after="57"/>
        <w:ind w:firstLine="57"/>
        <w:jc w:val="both"/>
      </w:pPr>
      <w:r>
        <w:rPr>
          <w:rFonts w:eastAsia="Times New Roman" w:cs="Calibri"/>
          <w:b/>
          <w:sz w:val="26"/>
          <w:szCs w:val="26"/>
          <w:lang w:val="uk-UA"/>
        </w:rPr>
        <w:t xml:space="preserve">Генеральний директор        </w:t>
      </w:r>
      <w:r>
        <w:rPr>
          <w:rFonts w:eastAsia="Times New Roman" w:cs="Calibri"/>
          <w:b/>
          <w:sz w:val="26"/>
          <w:szCs w:val="26"/>
          <w:lang w:val="uk-UA"/>
        </w:rPr>
        <w:t xml:space="preserve">                                                                     </w:t>
      </w:r>
    </w:p>
    <w:p w14:paraId="445BD7EC" w14:textId="77777777" w:rsidR="00CF0E39" w:rsidRDefault="00CF0E39">
      <w:pPr>
        <w:pStyle w:val="Standard"/>
        <w:spacing w:before="57" w:after="57"/>
        <w:ind w:firstLine="57"/>
        <w:jc w:val="both"/>
        <w:rPr>
          <w:rFonts w:eastAsia="Times New Roman" w:cs="Calibri"/>
          <w:b/>
          <w:sz w:val="26"/>
          <w:szCs w:val="26"/>
          <w:lang w:val="uk-UA"/>
        </w:rPr>
      </w:pPr>
    </w:p>
    <w:p w14:paraId="445BD7ED" w14:textId="77777777" w:rsidR="00CF0E39" w:rsidRDefault="00CF0E39">
      <w:pPr>
        <w:pStyle w:val="Standard"/>
        <w:spacing w:before="57" w:after="57"/>
        <w:ind w:firstLine="57"/>
        <w:jc w:val="both"/>
        <w:rPr>
          <w:rFonts w:eastAsia="Times New Roman" w:cs="Calibri"/>
          <w:b/>
          <w:sz w:val="26"/>
          <w:szCs w:val="26"/>
          <w:lang w:val="uk-UA"/>
        </w:rPr>
      </w:pPr>
    </w:p>
    <w:p w14:paraId="445BD7EE" w14:textId="77777777" w:rsidR="00CF0E39" w:rsidRDefault="00362558">
      <w:pPr>
        <w:pStyle w:val="Standard"/>
        <w:spacing w:before="57" w:after="57"/>
        <w:ind w:firstLine="57"/>
        <w:jc w:val="both"/>
        <w:rPr>
          <w:rFonts w:eastAsia="Times New Roman" w:cs="Calibri"/>
          <w:b/>
          <w:sz w:val="26"/>
          <w:szCs w:val="26"/>
          <w:lang w:val="uk-UA"/>
        </w:rPr>
      </w:pPr>
      <w:r>
        <w:rPr>
          <w:rFonts w:eastAsia="Times New Roman" w:cs="Calibri"/>
          <w:b/>
          <w:sz w:val="26"/>
          <w:szCs w:val="26"/>
          <w:lang w:val="uk-UA"/>
        </w:rPr>
        <w:t xml:space="preserve">Головний бухгалтер                                                                         </w:t>
      </w:r>
    </w:p>
    <w:p w14:paraId="445BD7EF" w14:textId="77777777" w:rsidR="00CF0E39" w:rsidRDefault="00CF0E39">
      <w:pPr>
        <w:pStyle w:val="3"/>
        <w:widowControl/>
        <w:spacing w:before="57" w:after="57" w:line="240" w:lineRule="auto"/>
        <w:ind w:firstLine="57"/>
        <w:jc w:val="both"/>
        <w:rPr>
          <w:rFonts w:cs="Calibri"/>
          <w:b/>
          <w:sz w:val="26"/>
          <w:szCs w:val="26"/>
          <w:lang w:val="uk-UA"/>
        </w:rPr>
      </w:pPr>
    </w:p>
    <w:sectPr w:rsidR="00CF0E39">
      <w:pgSz w:w="11905" w:h="16837"/>
      <w:pgMar w:top="1134" w:right="901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BD78C" w14:textId="77777777" w:rsidR="00000000" w:rsidRDefault="00362558">
      <w:r>
        <w:separator/>
      </w:r>
    </w:p>
  </w:endnote>
  <w:endnote w:type="continuationSeparator" w:id="0">
    <w:p w14:paraId="445BD78E" w14:textId="77777777" w:rsidR="00000000" w:rsidRDefault="003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 Unicode MS">
    <w:panose1 w:val="020B0604020202020204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BD788" w14:textId="77777777" w:rsidR="00000000" w:rsidRDefault="00362558">
      <w:r>
        <w:rPr>
          <w:color w:val="000000"/>
        </w:rPr>
        <w:separator/>
      </w:r>
    </w:p>
  </w:footnote>
  <w:footnote w:type="continuationSeparator" w:id="0">
    <w:p w14:paraId="445BD78A" w14:textId="77777777" w:rsidR="00000000" w:rsidRDefault="0036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2E3439"/>
    <w:multiLevelType w:val="multilevel"/>
    <w:tmpl w:val="3EB04B5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491147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6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F0E39"/>
    <w:rsid w:val="00362558"/>
    <w:rsid w:val="00C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BD788"/>
  <w15:docId w15:val="{E6BCA8A6-A3F4-44EE-A2DC-8EAC0C6A7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List Paragraph"/>
    <w:basedOn w:val="a"/>
    <w:pPr>
      <w:ind w:left="720"/>
    </w:pPr>
  </w:style>
  <w:style w:type="paragraph" w:styleId="2">
    <w:name w:val="Body Text Indent 2"/>
    <w:basedOn w:val="a"/>
    <w:pPr>
      <w:widowControl/>
      <w:suppressAutoHyphens w:val="0"/>
      <w:ind w:left="720"/>
      <w:jc w:val="both"/>
      <w:textAlignment w:val="auto"/>
    </w:pPr>
    <w:rPr>
      <w:rFonts w:eastAsia="Times New Roman" w:cs="Times NR Cyr MT"/>
      <w:kern w:val="0"/>
      <w:sz w:val="20"/>
      <w:lang w:val="ru-RU" w:eastAsia="ru-RU" w:bidi="ar-SA"/>
    </w:rPr>
  </w:style>
  <w:style w:type="paragraph" w:customStyle="1" w:styleId="a6">
    <w:name w:val="Обычный (веб)"/>
    <w:basedOn w:val="a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val="ru-RU" w:eastAsia="ru-RU" w:bidi="ar-SA"/>
    </w:rPr>
  </w:style>
  <w:style w:type="paragraph" w:customStyle="1" w:styleId="20">
    <w:name w:val="Основной текст2"/>
    <w:basedOn w:val="Standard"/>
    <w:pPr>
      <w:shd w:val="clear" w:color="auto" w:fill="FFFFFF"/>
      <w:spacing w:line="240" w:lineRule="exact"/>
      <w:ind w:hanging="2080"/>
    </w:pPr>
    <w:rPr>
      <w:rFonts w:ascii="Segoe UI" w:eastAsia="Segoe UI" w:hAnsi="Segoe UI" w:cs="Segoe UI"/>
      <w:sz w:val="17"/>
      <w:szCs w:val="17"/>
    </w:rPr>
  </w:style>
  <w:style w:type="paragraph" w:customStyle="1" w:styleId="3">
    <w:name w:val="Основной текст3"/>
    <w:basedOn w:val="Standard"/>
    <w:pPr>
      <w:shd w:val="clear" w:color="auto" w:fill="FFFFFF"/>
      <w:spacing w:before="660" w:after="240" w:line="0" w:lineRule="atLeast"/>
      <w:ind w:hanging="1460"/>
    </w:pPr>
    <w:rPr>
      <w:rFonts w:eastAsia="Times New Roman" w:cs="Times New Roman"/>
      <w:sz w:val="19"/>
      <w:szCs w:val="19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extbody0">
    <w:name w:val="textbody"/>
    <w:basedOn w:val="Standard"/>
    <w:pPr>
      <w:spacing w:before="280" w:after="280"/>
    </w:pPr>
    <w:rPr>
      <w:rFonts w:ascii="Calibri" w:eastAsia="Calibri" w:hAnsi="Calibri" w:cs="Calibri"/>
      <w:lang w:eastAsia="ru-RU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21">
    <w:name w:val="Основной текст с отступом 2 Знак"/>
    <w:basedOn w:val="a0"/>
    <w:rPr>
      <w:rFonts w:eastAsia="Times New Roman" w:cs="Times NR Cyr MT"/>
      <w:kern w:val="0"/>
      <w:sz w:val="20"/>
      <w:lang w:val="ru-RU" w:eastAsia="ru-RU" w:bidi="ar-SA"/>
    </w:rPr>
  </w:style>
  <w:style w:type="character" w:customStyle="1" w:styleId="a7">
    <w:name w:val="Основной текст + Полужирный"/>
    <w:rPr>
      <w:rFonts w:ascii="Segoe UI" w:eastAsia="Segoe UI" w:hAnsi="Segoe UI" w:cs="Segoe UI"/>
      <w:b/>
      <w:bCs/>
      <w:i w:val="0"/>
      <w:iCs w:val="0"/>
      <w:caps w:val="0"/>
      <w:smallCaps w:val="0"/>
      <w:strike w:val="0"/>
      <w:dstrike w:val="0"/>
      <w:spacing w:val="0"/>
      <w:sz w:val="17"/>
      <w:szCs w:val="1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68F0A0CB91B48BA1863CE2C7D9315" ma:contentTypeVersion="14" ma:contentTypeDescription="Создание документа." ma:contentTypeScope="" ma:versionID="f01e5bcf4dfcc525938d261a2961e84d">
  <xsd:schema xmlns:xsd="http://www.w3.org/2001/XMLSchema" xmlns:xs="http://www.w3.org/2001/XMLSchema" xmlns:p="http://schemas.microsoft.com/office/2006/metadata/properties" xmlns:ns2="9156f0ee-1158-44d2-8151-a45f70f777cd" xmlns:ns3="e32abd8d-75f6-47ad-878f-bba21cf6e4d9" targetNamespace="http://schemas.microsoft.com/office/2006/metadata/properties" ma:root="true" ma:fieldsID="1c10e69e471828bec222e2ab73b8023f" ns2:_="" ns3:_="">
    <xsd:import namespace="9156f0ee-1158-44d2-8151-a45f70f777cd"/>
    <xsd:import namespace="e32abd8d-75f6-47ad-878f-bba21cf6e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6f0ee-1158-44d2-8151-a45f70f777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ee1a5969-d6b3-431d-993c-4e90e51766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abd8d-75f6-47ad-878f-bba21cf6e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0922f98-c0e7-44e3-9df1-a95b51d3fc21}" ma:internalName="TaxCatchAll" ma:showField="CatchAllData" ma:web="e32abd8d-75f6-47ad-878f-bba21cf6e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2abd8d-75f6-47ad-878f-bba21cf6e4d9" xsi:nil="true"/>
    <lcf76f155ced4ddcb4097134ff3c332f xmlns="9156f0ee-1158-44d2-8151-a45f70f777c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9CFDED-AB06-4B82-AEFB-8C167916189C}"/>
</file>

<file path=customXml/itemProps2.xml><?xml version="1.0" encoding="utf-8"?>
<ds:datastoreItem xmlns:ds="http://schemas.openxmlformats.org/officeDocument/2006/customXml" ds:itemID="{7C2C3527-E18C-4AE8-A129-3BA859A77867}"/>
</file>

<file path=customXml/itemProps3.xml><?xml version="1.0" encoding="utf-8"?>
<ds:datastoreItem xmlns:ds="http://schemas.openxmlformats.org/officeDocument/2006/customXml" ds:itemID="{B0064821-0E1B-428C-953D-6017CCDC46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1605</Words>
  <Characters>9153</Characters>
  <Application>Microsoft Office Word</Application>
  <DocSecurity>0</DocSecurity>
  <Lines>76</Lines>
  <Paragraphs>21</Paragraphs>
  <ScaleCrop>false</ScaleCrop>
  <Company/>
  <LinksUpToDate>false</LinksUpToDate>
  <CharactersWithSpaces>10737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Филимошкина Светлана Владиславовна</dc:creator>
  <cp:lastModifiedBy>Велькин Павел Сергеевич</cp:lastModifiedBy>
  <cp:revision>2</cp:revision>
  <dcterms:created xsi:type="dcterms:W3CDTF">2022-06-22T06:41:00Z</dcterms:created>
  <dcterms:modified xsi:type="dcterms:W3CDTF">2022-06-22T06:41:00Z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ContentTypeId">
    <vt:lpwstr>0x0101001C068F0A0CB91B48BA1863CE2C7D9315</vt:lpwstr>
  </property>
</Properties>
</file>